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1A7A" w:rsidRDefault="00651A7A" w:rsidP="00DE4F1D">
      <w:pPr>
        <w:rPr>
          <w:rFonts w:ascii="黑体" w:eastAsia="黑体" w:hAnsi="黑体" w:cs="Times New Roman"/>
          <w:b/>
          <w:bCs/>
          <w:color w:val="auto"/>
          <w:sz w:val="50"/>
          <w:szCs w:val="50"/>
        </w:rPr>
      </w:pPr>
      <w:bookmarkStart w:id="0" w:name="_Toc13268"/>
    </w:p>
    <w:p w:rsidR="00651A7A" w:rsidRDefault="00651A7A" w:rsidP="00DE4F1D">
      <w:pPr>
        <w:rPr>
          <w:rFonts w:ascii="黑体" w:eastAsia="黑体" w:hAnsi="黑体" w:cs="Times New Roman"/>
          <w:b/>
          <w:bCs/>
          <w:color w:val="auto"/>
          <w:sz w:val="50"/>
          <w:szCs w:val="50"/>
        </w:rPr>
      </w:pPr>
    </w:p>
    <w:p w:rsidR="00651A7A" w:rsidRDefault="00651A7A" w:rsidP="00DE4F1D">
      <w:pPr>
        <w:rPr>
          <w:rFonts w:ascii="黑体" w:eastAsia="黑体" w:hAnsi="黑体" w:cs="Times New Roman"/>
          <w:b/>
          <w:bCs/>
          <w:color w:val="auto"/>
          <w:sz w:val="50"/>
          <w:szCs w:val="50"/>
        </w:rPr>
      </w:pPr>
    </w:p>
    <w:p w:rsidR="001D1D23" w:rsidRPr="001D1D23" w:rsidRDefault="001D1D23" w:rsidP="00DE4F1D">
      <w:pPr>
        <w:rPr>
          <w:rFonts w:ascii="黑体" w:eastAsia="黑体" w:hAnsi="黑体" w:cs="Times New Roman"/>
          <w:b/>
          <w:bCs/>
          <w:color w:val="auto"/>
          <w:sz w:val="50"/>
          <w:szCs w:val="50"/>
        </w:rPr>
      </w:pPr>
      <w:r w:rsidRPr="001D1D23">
        <w:rPr>
          <w:rFonts w:ascii="黑体" w:eastAsia="黑体" w:hAnsi="黑体" w:cs="Times New Roman" w:hint="eastAsia"/>
          <w:b/>
          <w:bCs/>
          <w:color w:val="auto"/>
          <w:sz w:val="50"/>
          <w:szCs w:val="50"/>
        </w:rPr>
        <w:t>聚焦脱贫攻坚，助力乡村振兴</w:t>
      </w:r>
      <w:bookmarkEnd w:id="0"/>
    </w:p>
    <w:p w:rsidR="001D1D23" w:rsidRPr="001D1D23" w:rsidRDefault="001D1D23" w:rsidP="00DE4F1D">
      <w:pPr>
        <w:rPr>
          <w:rFonts w:ascii="黑体" w:eastAsia="黑体" w:hAnsi="黑体" w:cs="黑体"/>
          <w:b/>
          <w:bCs/>
          <w:color w:val="auto"/>
          <w:sz w:val="50"/>
          <w:szCs w:val="50"/>
        </w:rPr>
      </w:pPr>
      <w:bookmarkStart w:id="1" w:name="_Toc11543"/>
      <w:bookmarkStart w:id="2" w:name="_Toc18855"/>
      <w:bookmarkStart w:id="3" w:name="_Toc202"/>
      <w:bookmarkStart w:id="4" w:name="_Toc5594"/>
      <w:bookmarkStart w:id="5" w:name="_Toc12051"/>
      <w:bookmarkStart w:id="6" w:name="_Toc22346"/>
      <w:r w:rsidRPr="001D1D23">
        <w:rPr>
          <w:rFonts w:ascii="黑体" w:eastAsia="黑体" w:hAnsi="黑体" w:cs="黑体" w:hint="eastAsia"/>
          <w:b/>
          <w:bCs/>
          <w:color w:val="auto"/>
          <w:sz w:val="50"/>
          <w:szCs w:val="50"/>
        </w:rPr>
        <w:t>——北京大学经济学院浙江仙居</w:t>
      </w:r>
      <w:bookmarkEnd w:id="1"/>
      <w:bookmarkEnd w:id="2"/>
      <w:bookmarkEnd w:id="3"/>
      <w:bookmarkEnd w:id="4"/>
      <w:bookmarkEnd w:id="5"/>
      <w:bookmarkEnd w:id="6"/>
    </w:p>
    <w:p w:rsidR="001D1D23" w:rsidRDefault="001D1D23" w:rsidP="00DE4F1D">
      <w:pPr>
        <w:rPr>
          <w:rFonts w:ascii="黑体" w:eastAsia="黑体" w:hAnsi="黑体" w:cs="黑体"/>
          <w:b/>
          <w:bCs/>
          <w:color w:val="auto"/>
          <w:sz w:val="50"/>
          <w:szCs w:val="50"/>
        </w:rPr>
      </w:pPr>
      <w:bookmarkStart w:id="7" w:name="_Toc26096"/>
      <w:bookmarkStart w:id="8" w:name="_Toc21863"/>
      <w:bookmarkStart w:id="9" w:name="_Toc12923"/>
      <w:bookmarkStart w:id="10" w:name="_Toc32599"/>
      <w:bookmarkStart w:id="11" w:name="_Toc32394"/>
      <w:bookmarkStart w:id="12" w:name="_Toc15527"/>
      <w:r w:rsidRPr="001D1D23">
        <w:rPr>
          <w:rFonts w:ascii="黑体" w:eastAsia="黑体" w:hAnsi="黑体" w:cs="黑体" w:hint="eastAsia"/>
          <w:b/>
          <w:bCs/>
          <w:color w:val="auto"/>
          <w:sz w:val="50"/>
          <w:szCs w:val="50"/>
        </w:rPr>
        <w:t>实践团</w:t>
      </w:r>
      <w:bookmarkEnd w:id="7"/>
      <w:bookmarkEnd w:id="8"/>
      <w:bookmarkEnd w:id="9"/>
      <w:bookmarkEnd w:id="10"/>
      <w:bookmarkEnd w:id="11"/>
      <w:r w:rsidRPr="001D1D23">
        <w:rPr>
          <w:rFonts w:ascii="黑体" w:eastAsia="黑体" w:hAnsi="黑体" w:cs="黑体" w:hint="eastAsia"/>
          <w:b/>
          <w:bCs/>
          <w:color w:val="auto"/>
          <w:sz w:val="50"/>
          <w:szCs w:val="50"/>
        </w:rPr>
        <w:t>思政实践报告</w:t>
      </w:r>
      <w:bookmarkEnd w:id="12"/>
    </w:p>
    <w:p w:rsidR="001D1D23" w:rsidRDefault="001D1D23" w:rsidP="00DE4F1D">
      <w:pPr>
        <w:rPr>
          <w:rFonts w:ascii="黑体" w:eastAsia="黑体" w:hAnsi="黑体" w:cs="黑体"/>
          <w:b/>
          <w:bCs/>
          <w:color w:val="auto"/>
          <w:sz w:val="50"/>
          <w:szCs w:val="50"/>
        </w:rPr>
      </w:pPr>
      <w:r>
        <w:rPr>
          <w:rFonts w:ascii="黑体" w:eastAsia="黑体" w:hAnsi="黑体" w:cs="黑体"/>
          <w:b/>
          <w:bCs/>
          <w:color w:val="auto"/>
          <w:sz w:val="50"/>
          <w:szCs w:val="50"/>
        </w:rPr>
        <w:br w:type="page"/>
      </w:r>
    </w:p>
    <w:p w:rsidR="00FA2038" w:rsidRDefault="00FA2038" w:rsidP="001D1D23">
      <w:pPr>
        <w:pStyle w:val="WPSOffice3"/>
        <w:tabs>
          <w:tab w:val="right" w:leader="dot" w:pos="8306"/>
        </w:tabs>
        <w:ind w:leftChars="0" w:left="0"/>
        <w:jc w:val="center"/>
        <w:outlineLvl w:val="1"/>
        <w:rPr>
          <w:rFonts w:ascii="宋体" w:eastAsia="宋体" w:hAnsi="宋体"/>
          <w:b/>
          <w:bCs/>
          <w:sz w:val="48"/>
          <w:szCs w:val="48"/>
        </w:rPr>
      </w:pPr>
      <w:bookmarkStart w:id="13" w:name="_Toc2975"/>
    </w:p>
    <w:p w:rsidR="001D1D23" w:rsidRDefault="001D1D23" w:rsidP="001D1D23">
      <w:pPr>
        <w:pStyle w:val="WPSOffice3"/>
        <w:tabs>
          <w:tab w:val="right" w:leader="dot" w:pos="8306"/>
        </w:tabs>
        <w:ind w:leftChars="0" w:left="0"/>
        <w:jc w:val="center"/>
        <w:outlineLvl w:val="1"/>
        <w:rPr>
          <w:rFonts w:ascii="宋体" w:eastAsia="宋体" w:hAnsi="宋体"/>
          <w:b/>
          <w:bCs/>
          <w:sz w:val="48"/>
          <w:szCs w:val="48"/>
        </w:rPr>
      </w:pPr>
      <w:r w:rsidRPr="00FA2038">
        <w:rPr>
          <w:rFonts w:ascii="宋体" w:eastAsia="宋体" w:hAnsi="宋体" w:hint="eastAsia"/>
          <w:b/>
          <w:bCs/>
          <w:sz w:val="48"/>
          <w:szCs w:val="48"/>
        </w:rPr>
        <w:t>目录</w:t>
      </w:r>
      <w:bookmarkEnd w:id="13"/>
    </w:p>
    <w:p w:rsidR="00FA2038" w:rsidRPr="00FA2038" w:rsidRDefault="00FA2038" w:rsidP="001D1D23">
      <w:pPr>
        <w:pStyle w:val="WPSOffice3"/>
        <w:tabs>
          <w:tab w:val="right" w:leader="dot" w:pos="8306"/>
        </w:tabs>
        <w:ind w:leftChars="0" w:left="0"/>
        <w:jc w:val="center"/>
        <w:outlineLvl w:val="1"/>
        <w:rPr>
          <w:rFonts w:ascii="宋体" w:eastAsia="宋体" w:hAnsi="宋体" w:hint="eastAsia"/>
          <w:b/>
          <w:bCs/>
          <w:sz w:val="48"/>
          <w:szCs w:val="48"/>
        </w:rPr>
      </w:pPr>
    </w:p>
    <w:p w:rsidR="00FA2038" w:rsidRPr="00FA2038" w:rsidRDefault="00FA2038">
      <w:pPr>
        <w:pStyle w:val="TOC1"/>
        <w:tabs>
          <w:tab w:val="right" w:leader="dot" w:pos="8296"/>
        </w:tabs>
        <w:rPr>
          <w:rFonts w:ascii="宋体" w:eastAsia="宋体" w:hAnsi="宋体"/>
          <w:b w:val="0"/>
          <w:bCs w:val="0"/>
          <w:caps w:val="0"/>
          <w:noProof/>
          <w:color w:val="auto"/>
          <w:sz w:val="24"/>
          <w:szCs w:val="24"/>
        </w:rPr>
      </w:pPr>
      <w:r>
        <w:rPr>
          <w:rFonts w:ascii="宋体" w:eastAsia="宋体" w:hAnsi="宋体" w:cs="宋体"/>
          <w:bCs w:val="0"/>
          <w:sz w:val="24"/>
          <w:szCs w:val="72"/>
        </w:rPr>
        <w:fldChar w:fldCharType="begin"/>
      </w:r>
      <w:r>
        <w:rPr>
          <w:rFonts w:ascii="宋体" w:eastAsia="宋体" w:hAnsi="宋体" w:cs="宋体"/>
          <w:bCs w:val="0"/>
          <w:sz w:val="24"/>
          <w:szCs w:val="72"/>
        </w:rPr>
        <w:instrText xml:space="preserve"> TOC \o "1-1" \h \z \u </w:instrText>
      </w:r>
      <w:r>
        <w:rPr>
          <w:rFonts w:ascii="宋体" w:eastAsia="宋体" w:hAnsi="宋体" w:cs="宋体"/>
          <w:bCs w:val="0"/>
          <w:sz w:val="24"/>
          <w:szCs w:val="72"/>
        </w:rPr>
        <w:fldChar w:fldCharType="separate"/>
      </w:r>
      <w:hyperlink w:anchor="_Toc57099159" w:history="1">
        <w:r w:rsidRPr="00FA2038">
          <w:rPr>
            <w:rStyle w:val="a9"/>
            <w:rFonts w:ascii="宋体" w:eastAsia="宋体" w:hAnsi="宋体" w:cs="Times New Roman"/>
            <w:noProof/>
            <w:sz w:val="24"/>
            <w:szCs w:val="24"/>
          </w:rPr>
          <w:t>1.对仙居县脱贫攻坚实践及其成果的探讨</w:t>
        </w:r>
        <w:r w:rsidRPr="00FA2038">
          <w:rPr>
            <w:rFonts w:ascii="宋体" w:eastAsia="宋体" w:hAnsi="宋体"/>
            <w:noProof/>
            <w:webHidden/>
            <w:sz w:val="24"/>
            <w:szCs w:val="24"/>
          </w:rPr>
          <w:tab/>
        </w:r>
        <w:r w:rsidRPr="00FA2038">
          <w:rPr>
            <w:rFonts w:ascii="宋体" w:eastAsia="宋体" w:hAnsi="宋体"/>
            <w:noProof/>
            <w:webHidden/>
            <w:sz w:val="24"/>
            <w:szCs w:val="24"/>
          </w:rPr>
          <w:fldChar w:fldCharType="begin"/>
        </w:r>
        <w:r w:rsidRPr="00FA2038">
          <w:rPr>
            <w:rFonts w:ascii="宋体" w:eastAsia="宋体" w:hAnsi="宋体"/>
            <w:noProof/>
            <w:webHidden/>
            <w:sz w:val="24"/>
            <w:szCs w:val="24"/>
          </w:rPr>
          <w:instrText xml:space="preserve"> PAGEREF _Toc57099159 \h </w:instrText>
        </w:r>
        <w:r w:rsidRPr="00FA2038">
          <w:rPr>
            <w:rFonts w:ascii="宋体" w:eastAsia="宋体" w:hAnsi="宋体"/>
            <w:noProof/>
            <w:webHidden/>
            <w:sz w:val="24"/>
            <w:szCs w:val="24"/>
          </w:rPr>
        </w:r>
        <w:r w:rsidRPr="00FA2038">
          <w:rPr>
            <w:rFonts w:ascii="宋体" w:eastAsia="宋体" w:hAnsi="宋体"/>
            <w:noProof/>
            <w:webHidden/>
            <w:sz w:val="24"/>
            <w:szCs w:val="24"/>
          </w:rPr>
          <w:fldChar w:fldCharType="separate"/>
        </w:r>
        <w:r w:rsidRPr="00FA2038">
          <w:rPr>
            <w:rFonts w:ascii="宋体" w:eastAsia="宋体" w:hAnsi="宋体"/>
            <w:noProof/>
            <w:webHidden/>
            <w:sz w:val="24"/>
            <w:szCs w:val="24"/>
          </w:rPr>
          <w:t>3</w:t>
        </w:r>
        <w:r w:rsidRPr="00FA2038">
          <w:rPr>
            <w:rFonts w:ascii="宋体" w:eastAsia="宋体" w:hAnsi="宋体"/>
            <w:noProof/>
            <w:webHidden/>
            <w:sz w:val="24"/>
            <w:szCs w:val="24"/>
          </w:rPr>
          <w:fldChar w:fldCharType="end"/>
        </w:r>
      </w:hyperlink>
    </w:p>
    <w:p w:rsidR="00FA2038" w:rsidRPr="00FA2038" w:rsidRDefault="00FA2038">
      <w:pPr>
        <w:pStyle w:val="TOC1"/>
        <w:tabs>
          <w:tab w:val="right" w:leader="dot" w:pos="8296"/>
        </w:tabs>
        <w:rPr>
          <w:rFonts w:ascii="宋体" w:eastAsia="宋体" w:hAnsi="宋体"/>
          <w:b w:val="0"/>
          <w:bCs w:val="0"/>
          <w:caps w:val="0"/>
          <w:noProof/>
          <w:color w:val="auto"/>
          <w:sz w:val="24"/>
          <w:szCs w:val="24"/>
        </w:rPr>
      </w:pPr>
      <w:hyperlink w:anchor="_Toc57099160" w:history="1">
        <w:r w:rsidRPr="00FA2038">
          <w:rPr>
            <w:rStyle w:val="a9"/>
            <w:rFonts w:ascii="宋体" w:eastAsia="宋体" w:hAnsi="宋体" w:cs="Times New Roman"/>
            <w:noProof/>
            <w:sz w:val="24"/>
            <w:szCs w:val="24"/>
          </w:rPr>
          <w:t>2.基础设施的建设</w:t>
        </w:r>
        <w:r w:rsidRPr="00FA2038">
          <w:rPr>
            <w:rFonts w:ascii="宋体" w:eastAsia="宋体" w:hAnsi="宋体"/>
            <w:noProof/>
            <w:webHidden/>
            <w:sz w:val="24"/>
            <w:szCs w:val="24"/>
          </w:rPr>
          <w:tab/>
        </w:r>
        <w:r w:rsidRPr="00FA2038">
          <w:rPr>
            <w:rFonts w:ascii="宋体" w:eastAsia="宋体" w:hAnsi="宋体"/>
            <w:noProof/>
            <w:webHidden/>
            <w:sz w:val="24"/>
            <w:szCs w:val="24"/>
          </w:rPr>
          <w:fldChar w:fldCharType="begin"/>
        </w:r>
        <w:r w:rsidRPr="00FA2038">
          <w:rPr>
            <w:rFonts w:ascii="宋体" w:eastAsia="宋体" w:hAnsi="宋体"/>
            <w:noProof/>
            <w:webHidden/>
            <w:sz w:val="24"/>
            <w:szCs w:val="24"/>
          </w:rPr>
          <w:instrText xml:space="preserve"> PAGEREF _Toc57099160 \h </w:instrText>
        </w:r>
        <w:r w:rsidRPr="00FA2038">
          <w:rPr>
            <w:rFonts w:ascii="宋体" w:eastAsia="宋体" w:hAnsi="宋体"/>
            <w:noProof/>
            <w:webHidden/>
            <w:sz w:val="24"/>
            <w:szCs w:val="24"/>
          </w:rPr>
        </w:r>
        <w:r w:rsidRPr="00FA2038">
          <w:rPr>
            <w:rFonts w:ascii="宋体" w:eastAsia="宋体" w:hAnsi="宋体"/>
            <w:noProof/>
            <w:webHidden/>
            <w:sz w:val="24"/>
            <w:szCs w:val="24"/>
          </w:rPr>
          <w:fldChar w:fldCharType="separate"/>
        </w:r>
        <w:r w:rsidRPr="00FA2038">
          <w:rPr>
            <w:rFonts w:ascii="宋体" w:eastAsia="宋体" w:hAnsi="宋体"/>
            <w:noProof/>
            <w:webHidden/>
            <w:sz w:val="24"/>
            <w:szCs w:val="24"/>
          </w:rPr>
          <w:t>6</w:t>
        </w:r>
        <w:r w:rsidRPr="00FA2038">
          <w:rPr>
            <w:rFonts w:ascii="宋体" w:eastAsia="宋体" w:hAnsi="宋体"/>
            <w:noProof/>
            <w:webHidden/>
            <w:sz w:val="24"/>
            <w:szCs w:val="24"/>
          </w:rPr>
          <w:fldChar w:fldCharType="end"/>
        </w:r>
      </w:hyperlink>
    </w:p>
    <w:p w:rsidR="00FA2038" w:rsidRPr="00FA2038" w:rsidRDefault="00FA2038">
      <w:pPr>
        <w:pStyle w:val="TOC1"/>
        <w:tabs>
          <w:tab w:val="right" w:leader="dot" w:pos="8296"/>
        </w:tabs>
        <w:rPr>
          <w:rFonts w:ascii="宋体" w:eastAsia="宋体" w:hAnsi="宋体"/>
          <w:b w:val="0"/>
          <w:bCs w:val="0"/>
          <w:caps w:val="0"/>
          <w:noProof/>
          <w:color w:val="auto"/>
          <w:sz w:val="24"/>
          <w:szCs w:val="24"/>
        </w:rPr>
      </w:pPr>
      <w:hyperlink w:anchor="_Toc57099161" w:history="1">
        <w:r w:rsidRPr="00FA2038">
          <w:rPr>
            <w:rStyle w:val="a9"/>
            <w:rFonts w:ascii="宋体" w:eastAsia="宋体" w:hAnsi="宋体" w:cs="Times New Roman"/>
            <w:noProof/>
            <w:sz w:val="24"/>
            <w:szCs w:val="24"/>
          </w:rPr>
          <w:t>3.基层党建工作</w:t>
        </w:r>
        <w:r w:rsidRPr="00FA2038">
          <w:rPr>
            <w:rFonts w:ascii="宋体" w:eastAsia="宋体" w:hAnsi="宋体"/>
            <w:noProof/>
            <w:webHidden/>
            <w:sz w:val="24"/>
            <w:szCs w:val="24"/>
          </w:rPr>
          <w:tab/>
        </w:r>
        <w:r w:rsidRPr="00FA2038">
          <w:rPr>
            <w:rFonts w:ascii="宋体" w:eastAsia="宋体" w:hAnsi="宋体"/>
            <w:noProof/>
            <w:webHidden/>
            <w:sz w:val="24"/>
            <w:szCs w:val="24"/>
          </w:rPr>
          <w:fldChar w:fldCharType="begin"/>
        </w:r>
        <w:r w:rsidRPr="00FA2038">
          <w:rPr>
            <w:rFonts w:ascii="宋体" w:eastAsia="宋体" w:hAnsi="宋体"/>
            <w:noProof/>
            <w:webHidden/>
            <w:sz w:val="24"/>
            <w:szCs w:val="24"/>
          </w:rPr>
          <w:instrText xml:space="preserve"> PAGEREF _Toc57099161 \h </w:instrText>
        </w:r>
        <w:r w:rsidRPr="00FA2038">
          <w:rPr>
            <w:rFonts w:ascii="宋体" w:eastAsia="宋体" w:hAnsi="宋体"/>
            <w:noProof/>
            <w:webHidden/>
            <w:sz w:val="24"/>
            <w:szCs w:val="24"/>
          </w:rPr>
        </w:r>
        <w:r w:rsidRPr="00FA2038">
          <w:rPr>
            <w:rFonts w:ascii="宋体" w:eastAsia="宋体" w:hAnsi="宋体"/>
            <w:noProof/>
            <w:webHidden/>
            <w:sz w:val="24"/>
            <w:szCs w:val="24"/>
          </w:rPr>
          <w:fldChar w:fldCharType="separate"/>
        </w:r>
        <w:r w:rsidRPr="00FA2038">
          <w:rPr>
            <w:rFonts w:ascii="宋体" w:eastAsia="宋体" w:hAnsi="宋体"/>
            <w:noProof/>
            <w:webHidden/>
            <w:sz w:val="24"/>
            <w:szCs w:val="24"/>
          </w:rPr>
          <w:t>6</w:t>
        </w:r>
        <w:r w:rsidRPr="00FA2038">
          <w:rPr>
            <w:rFonts w:ascii="宋体" w:eastAsia="宋体" w:hAnsi="宋体"/>
            <w:noProof/>
            <w:webHidden/>
            <w:sz w:val="24"/>
            <w:szCs w:val="24"/>
          </w:rPr>
          <w:fldChar w:fldCharType="end"/>
        </w:r>
      </w:hyperlink>
    </w:p>
    <w:p w:rsidR="00FA2038" w:rsidRPr="00FA2038" w:rsidRDefault="00FA2038">
      <w:pPr>
        <w:pStyle w:val="TOC1"/>
        <w:tabs>
          <w:tab w:val="right" w:leader="dot" w:pos="8296"/>
        </w:tabs>
        <w:rPr>
          <w:rFonts w:ascii="宋体" w:eastAsia="宋体" w:hAnsi="宋体"/>
          <w:b w:val="0"/>
          <w:bCs w:val="0"/>
          <w:caps w:val="0"/>
          <w:noProof/>
          <w:color w:val="auto"/>
          <w:sz w:val="24"/>
          <w:szCs w:val="24"/>
        </w:rPr>
      </w:pPr>
      <w:hyperlink w:anchor="_Toc57099162" w:history="1">
        <w:r w:rsidRPr="00FA2038">
          <w:rPr>
            <w:rStyle w:val="a9"/>
            <w:rFonts w:ascii="宋体" w:eastAsia="宋体" w:hAnsi="宋体" w:cs="Times New Roman"/>
            <w:noProof/>
            <w:sz w:val="24"/>
            <w:szCs w:val="24"/>
          </w:rPr>
          <w:t>4.特色农业与乡村振兴</w:t>
        </w:r>
        <w:r w:rsidRPr="00FA2038">
          <w:rPr>
            <w:rFonts w:ascii="宋体" w:eastAsia="宋体" w:hAnsi="宋体"/>
            <w:noProof/>
            <w:webHidden/>
            <w:sz w:val="24"/>
            <w:szCs w:val="24"/>
          </w:rPr>
          <w:tab/>
        </w:r>
        <w:r w:rsidRPr="00FA2038">
          <w:rPr>
            <w:rFonts w:ascii="宋体" w:eastAsia="宋体" w:hAnsi="宋体"/>
            <w:noProof/>
            <w:webHidden/>
            <w:sz w:val="24"/>
            <w:szCs w:val="24"/>
          </w:rPr>
          <w:fldChar w:fldCharType="begin"/>
        </w:r>
        <w:r w:rsidRPr="00FA2038">
          <w:rPr>
            <w:rFonts w:ascii="宋体" w:eastAsia="宋体" w:hAnsi="宋体"/>
            <w:noProof/>
            <w:webHidden/>
            <w:sz w:val="24"/>
            <w:szCs w:val="24"/>
          </w:rPr>
          <w:instrText xml:space="preserve"> PAGEREF _Toc57099162 \h </w:instrText>
        </w:r>
        <w:r w:rsidRPr="00FA2038">
          <w:rPr>
            <w:rFonts w:ascii="宋体" w:eastAsia="宋体" w:hAnsi="宋体"/>
            <w:noProof/>
            <w:webHidden/>
            <w:sz w:val="24"/>
            <w:szCs w:val="24"/>
          </w:rPr>
        </w:r>
        <w:r w:rsidRPr="00FA2038">
          <w:rPr>
            <w:rFonts w:ascii="宋体" w:eastAsia="宋体" w:hAnsi="宋体"/>
            <w:noProof/>
            <w:webHidden/>
            <w:sz w:val="24"/>
            <w:szCs w:val="24"/>
          </w:rPr>
          <w:fldChar w:fldCharType="separate"/>
        </w:r>
        <w:r w:rsidRPr="00FA2038">
          <w:rPr>
            <w:rFonts w:ascii="宋体" w:eastAsia="宋体" w:hAnsi="宋体"/>
            <w:noProof/>
            <w:webHidden/>
            <w:sz w:val="24"/>
            <w:szCs w:val="24"/>
          </w:rPr>
          <w:t>7</w:t>
        </w:r>
        <w:r w:rsidRPr="00FA2038">
          <w:rPr>
            <w:rFonts w:ascii="宋体" w:eastAsia="宋体" w:hAnsi="宋体"/>
            <w:noProof/>
            <w:webHidden/>
            <w:sz w:val="24"/>
            <w:szCs w:val="24"/>
          </w:rPr>
          <w:fldChar w:fldCharType="end"/>
        </w:r>
      </w:hyperlink>
    </w:p>
    <w:p w:rsidR="00FA2038" w:rsidRDefault="00FA2038">
      <w:pPr>
        <w:pStyle w:val="TOC1"/>
        <w:tabs>
          <w:tab w:val="right" w:leader="dot" w:pos="8296"/>
        </w:tabs>
        <w:rPr>
          <w:rFonts w:eastAsiaTheme="minorEastAsia" w:hAnsiTheme="minorHAnsi"/>
          <w:b w:val="0"/>
          <w:bCs w:val="0"/>
          <w:caps w:val="0"/>
          <w:noProof/>
          <w:color w:val="auto"/>
          <w:sz w:val="21"/>
          <w:szCs w:val="24"/>
        </w:rPr>
      </w:pPr>
      <w:hyperlink w:anchor="_Toc57099163" w:history="1">
        <w:r w:rsidRPr="00FA2038">
          <w:rPr>
            <w:rStyle w:val="a9"/>
            <w:rFonts w:ascii="宋体" w:eastAsia="宋体" w:hAnsi="宋体" w:cs="Times New Roman"/>
            <w:noProof/>
            <w:sz w:val="24"/>
            <w:szCs w:val="24"/>
          </w:rPr>
          <w:t>5.总结</w:t>
        </w:r>
        <w:r w:rsidRPr="00FA2038">
          <w:rPr>
            <w:rFonts w:ascii="宋体" w:eastAsia="宋体" w:hAnsi="宋体"/>
            <w:noProof/>
            <w:webHidden/>
            <w:sz w:val="24"/>
            <w:szCs w:val="24"/>
          </w:rPr>
          <w:tab/>
        </w:r>
        <w:r w:rsidRPr="00FA2038">
          <w:rPr>
            <w:rFonts w:ascii="宋体" w:eastAsia="宋体" w:hAnsi="宋体"/>
            <w:noProof/>
            <w:webHidden/>
            <w:sz w:val="24"/>
            <w:szCs w:val="24"/>
          </w:rPr>
          <w:fldChar w:fldCharType="begin"/>
        </w:r>
        <w:r w:rsidRPr="00FA2038">
          <w:rPr>
            <w:rFonts w:ascii="宋体" w:eastAsia="宋体" w:hAnsi="宋体"/>
            <w:noProof/>
            <w:webHidden/>
            <w:sz w:val="24"/>
            <w:szCs w:val="24"/>
          </w:rPr>
          <w:instrText xml:space="preserve"> PAGEREF _Toc57099163 \h </w:instrText>
        </w:r>
        <w:r w:rsidRPr="00FA2038">
          <w:rPr>
            <w:rFonts w:ascii="宋体" w:eastAsia="宋体" w:hAnsi="宋体"/>
            <w:noProof/>
            <w:webHidden/>
            <w:sz w:val="24"/>
            <w:szCs w:val="24"/>
          </w:rPr>
        </w:r>
        <w:r w:rsidRPr="00FA2038">
          <w:rPr>
            <w:rFonts w:ascii="宋体" w:eastAsia="宋体" w:hAnsi="宋体"/>
            <w:noProof/>
            <w:webHidden/>
            <w:sz w:val="24"/>
            <w:szCs w:val="24"/>
          </w:rPr>
          <w:fldChar w:fldCharType="separate"/>
        </w:r>
        <w:r w:rsidRPr="00FA2038">
          <w:rPr>
            <w:rFonts w:ascii="宋体" w:eastAsia="宋体" w:hAnsi="宋体"/>
            <w:noProof/>
            <w:webHidden/>
            <w:sz w:val="24"/>
            <w:szCs w:val="24"/>
          </w:rPr>
          <w:t>11</w:t>
        </w:r>
        <w:r w:rsidRPr="00FA2038">
          <w:rPr>
            <w:rFonts w:ascii="宋体" w:eastAsia="宋体" w:hAnsi="宋体"/>
            <w:noProof/>
            <w:webHidden/>
            <w:sz w:val="24"/>
            <w:szCs w:val="24"/>
          </w:rPr>
          <w:fldChar w:fldCharType="end"/>
        </w:r>
      </w:hyperlink>
    </w:p>
    <w:p w:rsidR="00FA2038" w:rsidRDefault="00FA2038" w:rsidP="00FA2038">
      <w:pPr>
        <w:pStyle w:val="WPSOffice3"/>
        <w:tabs>
          <w:tab w:val="right" w:leader="dot" w:pos="8306"/>
        </w:tabs>
        <w:spacing w:line="360" w:lineRule="auto"/>
        <w:ind w:leftChars="0" w:left="0"/>
        <w:rPr>
          <w:rFonts w:ascii="宋体" w:eastAsia="宋体" w:hAnsi="宋体" w:cs="宋体"/>
          <w:bCs/>
          <w:sz w:val="24"/>
          <w:szCs w:val="72"/>
        </w:rPr>
      </w:pPr>
      <w:r>
        <w:rPr>
          <w:rFonts w:ascii="宋体" w:eastAsia="宋体" w:hAnsi="宋体" w:cs="宋体"/>
          <w:bCs/>
          <w:sz w:val="24"/>
          <w:szCs w:val="72"/>
        </w:rPr>
        <w:fldChar w:fldCharType="end"/>
      </w:r>
    </w:p>
    <w:p w:rsidR="001D1D23" w:rsidRPr="00FA2038" w:rsidRDefault="00FA2038" w:rsidP="00FA2038">
      <w:pPr>
        <w:jc w:val="right"/>
        <w:rPr>
          <w:rFonts w:ascii="宋体" w:eastAsia="宋体" w:hAnsi="宋体" w:cs="宋体" w:hint="eastAsia"/>
          <w:bCs/>
          <w:color w:val="auto"/>
          <w:kern w:val="0"/>
          <w:szCs w:val="72"/>
        </w:rPr>
      </w:pPr>
      <w:r>
        <w:rPr>
          <w:rFonts w:ascii="宋体" w:eastAsia="宋体" w:hAnsi="宋体" w:cs="宋体"/>
          <w:bCs/>
          <w:szCs w:val="72"/>
        </w:rPr>
        <w:br w:type="page"/>
      </w:r>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lastRenderedPageBreak/>
        <w:t>浙江省仙居县是一座人杰地灵的千年古城，近年来，仙居正从闭塞落后走向发达繁荣，其间经济建设取得了不小的成就。仙居的发展模式值得我们去深入地思考，通过为期三天的社会实践活动，仙居县建设模式给我们留下了较为深刻的印象。在接下来的报告中，我们将总结概括当地的情况，并对于仙居如何更好地发展提出一些自己的想法与建议。</w:t>
      </w:r>
    </w:p>
    <w:p w:rsidR="001D1D23" w:rsidRPr="001D1D23" w:rsidRDefault="001D1D23" w:rsidP="001D1D23">
      <w:pPr>
        <w:widowControl w:val="0"/>
        <w:jc w:val="both"/>
        <w:rPr>
          <w:rFonts w:ascii="宋体" w:eastAsia="宋体" w:hAnsi="宋体" w:cs="Times New Roman"/>
          <w:color w:val="auto"/>
        </w:rPr>
      </w:pPr>
    </w:p>
    <w:p w:rsidR="001D1D23" w:rsidRPr="001D1D23" w:rsidRDefault="001D1D23" w:rsidP="00DE4F1D">
      <w:pPr>
        <w:widowControl w:val="0"/>
        <w:jc w:val="both"/>
        <w:outlineLvl w:val="0"/>
        <w:rPr>
          <w:rFonts w:ascii="宋体" w:eastAsia="宋体" w:hAnsi="宋体" w:cs="Times New Roman"/>
          <w:b/>
          <w:bCs/>
          <w:color w:val="auto"/>
          <w:sz w:val="32"/>
          <w:szCs w:val="32"/>
        </w:rPr>
      </w:pPr>
      <w:bookmarkStart w:id="14" w:name="_Toc932"/>
      <w:bookmarkStart w:id="15" w:name="_Toc6525"/>
      <w:bookmarkStart w:id="16" w:name="_Toc28069"/>
      <w:bookmarkStart w:id="17" w:name="_Toc57099159"/>
      <w:r w:rsidRPr="001D1D23">
        <w:rPr>
          <w:rFonts w:ascii="宋体" w:eastAsia="宋体" w:hAnsi="宋体" w:cs="Times New Roman" w:hint="eastAsia"/>
          <w:b/>
          <w:bCs/>
          <w:color w:val="auto"/>
          <w:sz w:val="32"/>
          <w:szCs w:val="32"/>
        </w:rPr>
        <w:t>1.对仙居县脱贫攻坚实践及其成果的探讨</w:t>
      </w:r>
      <w:bookmarkEnd w:id="14"/>
      <w:bookmarkEnd w:id="15"/>
      <w:bookmarkEnd w:id="16"/>
      <w:bookmarkEnd w:id="17"/>
    </w:p>
    <w:p w:rsidR="001D1D23" w:rsidRPr="001D1D23" w:rsidRDefault="001D1D23" w:rsidP="00DE4F1D">
      <w:pPr>
        <w:widowControl w:val="0"/>
        <w:jc w:val="both"/>
        <w:outlineLvl w:val="1"/>
        <w:rPr>
          <w:rFonts w:ascii="宋体" w:eastAsia="宋体" w:hAnsi="宋体" w:cs="Times New Roman"/>
          <w:b/>
          <w:bCs/>
          <w:color w:val="auto"/>
        </w:rPr>
      </w:pPr>
      <w:bookmarkStart w:id="18" w:name="_Toc6991"/>
      <w:bookmarkStart w:id="19" w:name="_Toc17090"/>
      <w:bookmarkStart w:id="20" w:name="_Toc32234"/>
      <w:r w:rsidRPr="001D1D23">
        <w:rPr>
          <w:rFonts w:ascii="宋体" w:eastAsia="宋体" w:hAnsi="宋体" w:cs="Times New Roman" w:hint="eastAsia"/>
          <w:b/>
          <w:bCs/>
          <w:color w:val="auto"/>
        </w:rPr>
        <w:t>1.1仙居县脱贫攻坚的背景</w:t>
      </w:r>
      <w:bookmarkEnd w:id="18"/>
      <w:bookmarkEnd w:id="19"/>
      <w:bookmarkEnd w:id="20"/>
    </w:p>
    <w:p w:rsidR="001D1D23" w:rsidRPr="001D1D23" w:rsidRDefault="001D1D23" w:rsidP="001D1D23">
      <w:pPr>
        <w:widowControl w:val="0"/>
        <w:ind w:firstLineChars="200" w:firstLine="480"/>
        <w:jc w:val="both"/>
        <w:rPr>
          <w:rFonts w:ascii="宋体" w:eastAsia="宋体" w:hAnsi="宋体" w:cs="Times New Roman"/>
          <w:color w:val="333333"/>
          <w:shd w:val="clear" w:color="auto" w:fill="FFFFFF"/>
        </w:rPr>
      </w:pPr>
      <w:r w:rsidRPr="001D1D23">
        <w:rPr>
          <w:rFonts w:ascii="宋体" w:eastAsia="宋体" w:hAnsi="宋体" w:cs="Times New Roman" w:hint="eastAsia"/>
          <w:color w:val="auto"/>
        </w:rPr>
        <w:t>习近平总书记在2015年的中央扶贫开发会议上强调：“</w:t>
      </w:r>
      <w:r w:rsidRPr="001D1D23">
        <w:rPr>
          <w:rFonts w:ascii="宋体" w:eastAsia="宋体" w:hAnsi="宋体" w:cs="Times New Roman" w:hint="eastAsia"/>
          <w:color w:val="333333"/>
          <w:shd w:val="clear" w:color="auto" w:fill="FFFFFF"/>
        </w:rPr>
        <w:t>消除贫困、改善民生、逐步实现共同富裕，是社会主义的本质要求，是中国共产党的重要使命。”</w:t>
      </w:r>
      <w:r w:rsidRPr="001D1D23">
        <w:rPr>
          <w:rFonts w:ascii="宋体" w:eastAsia="宋体" w:hAnsi="宋体" w:cs="宋体" w:hint="eastAsia"/>
          <w:color w:val="333333"/>
          <w:shd w:val="clear" w:color="auto" w:fill="FFFFFF"/>
          <w:vertAlign w:val="superscript"/>
        </w:rPr>
        <w:footnoteReference w:id="1"/>
      </w:r>
      <w:r w:rsidRPr="001D1D23">
        <w:rPr>
          <w:rFonts w:ascii="宋体" w:eastAsia="宋体" w:hAnsi="宋体" w:cs="Times New Roman" w:hint="eastAsia"/>
          <w:color w:val="auto"/>
        </w:rPr>
        <w:t>所谓脱贫，顾名思义就是摆脱贫困的状态，个人过上较为体面的生活，社会逐渐步入小康，乃至更为富裕的状态。扶贫的目标可以用“不愁吃”、“不愁穿”，而且能得到“义务教育”、“基本医疗”和“安全住房”来概括。从全国来看，尽管中国经过改革开放三十几年的努力，使7亿多农村贫困人口成功脱贫，为全面建成小康社会打下了坚实基础，但仍存在一部分人处于贫困的生活，</w:t>
      </w:r>
      <w:r w:rsidRPr="001D1D23">
        <w:rPr>
          <w:rFonts w:ascii="宋体" w:eastAsia="宋体" w:hAnsi="宋体" w:cs="Times New Roman" w:hint="eastAsia"/>
          <w:color w:val="333333"/>
          <w:shd w:val="clear" w:color="auto" w:fill="FFFFFF"/>
        </w:rPr>
        <w:t>截至2014年底，中国仍有7000多万农村贫困人口。</w:t>
      </w:r>
      <w:r w:rsidRPr="001D1D23">
        <w:rPr>
          <w:rFonts w:ascii="宋体" w:eastAsia="宋体" w:hAnsi="宋体" w:cs="宋体" w:hint="eastAsia"/>
          <w:color w:val="333333"/>
          <w:shd w:val="clear" w:color="auto" w:fill="FFFFFF"/>
          <w:vertAlign w:val="superscript"/>
        </w:rPr>
        <w:footnoteReference w:id="2"/>
      </w:r>
      <w:r w:rsidRPr="001D1D23">
        <w:rPr>
          <w:rFonts w:ascii="宋体" w:eastAsia="宋体" w:hAnsi="宋体" w:cs="Times New Roman" w:hint="eastAsia"/>
          <w:color w:val="333333"/>
          <w:shd w:val="clear" w:color="auto" w:fill="FFFFFF"/>
        </w:rPr>
        <w:t>就仙居县当地来看，全县下辖7镇10个乡3个街道，418个行政村，其中丘陵山地面积占全县约百分之八十，有“八山一水一分田”之说，因此交通不便，不利于工农业的发展，居民收入自然有限。</w:t>
      </w:r>
    </w:p>
    <w:p w:rsidR="001D1D23" w:rsidRPr="001D1D23" w:rsidRDefault="001D1D23" w:rsidP="001D1D23">
      <w:pPr>
        <w:widowControl w:val="0"/>
        <w:ind w:firstLineChars="200" w:firstLine="480"/>
        <w:jc w:val="both"/>
        <w:rPr>
          <w:rFonts w:ascii="宋体" w:eastAsia="宋体" w:hAnsi="宋体" w:cs="Times New Roman"/>
          <w:color w:val="333333"/>
          <w:shd w:val="clear" w:color="auto" w:fill="FFFFFF"/>
        </w:rPr>
      </w:pPr>
      <w:r w:rsidRPr="001D1D23">
        <w:rPr>
          <w:rFonts w:ascii="宋体" w:eastAsia="宋体" w:hAnsi="宋体" w:cs="Times New Roman" w:hint="eastAsia"/>
          <w:color w:val="333333"/>
          <w:shd w:val="clear" w:color="auto" w:fill="FFFFFF"/>
        </w:rPr>
        <w:t>在此背景下，仙居县借助当地丰富多样的旅游资源，得天独厚的杨梅种植条件，在党脱贫攻坚战的理论指导下，依靠各村庄的党的基层干部和村民的大胆实践，因地制宜，通过一系列政策和措施取得了脱贫攻坚战的伟大胜利。</w:t>
      </w:r>
    </w:p>
    <w:p w:rsidR="001D1D23" w:rsidRPr="001D1D23" w:rsidRDefault="001D1D23" w:rsidP="001D1D23">
      <w:pPr>
        <w:widowControl w:val="0"/>
        <w:jc w:val="both"/>
        <w:rPr>
          <w:rFonts w:ascii="宋体" w:eastAsia="宋体" w:hAnsi="宋体" w:cs="Times New Roman"/>
          <w:color w:val="333333"/>
          <w:shd w:val="clear" w:color="auto" w:fill="FFFFFF"/>
        </w:rPr>
      </w:pPr>
    </w:p>
    <w:p w:rsidR="001D1D23" w:rsidRPr="001D1D23" w:rsidRDefault="001D1D23" w:rsidP="00DE4F1D">
      <w:pPr>
        <w:widowControl w:val="0"/>
        <w:jc w:val="both"/>
        <w:outlineLvl w:val="1"/>
        <w:rPr>
          <w:rFonts w:ascii="宋体" w:eastAsia="宋体" w:hAnsi="宋体" w:cs="Times New Roman"/>
          <w:b/>
          <w:bCs/>
          <w:color w:val="auto"/>
        </w:rPr>
      </w:pPr>
      <w:bookmarkStart w:id="21" w:name="_Toc2381"/>
      <w:bookmarkStart w:id="22" w:name="_Toc23636"/>
      <w:bookmarkStart w:id="23" w:name="_Toc5605"/>
      <w:r w:rsidRPr="001D1D23">
        <w:rPr>
          <w:rFonts w:ascii="宋体" w:eastAsia="宋体" w:hAnsi="宋体" w:cs="Times New Roman" w:hint="eastAsia"/>
          <w:b/>
          <w:bCs/>
          <w:color w:val="auto"/>
        </w:rPr>
        <w:t>1.2.仙居县脱贫攻坚的实践过程</w:t>
      </w:r>
      <w:bookmarkEnd w:id="21"/>
      <w:bookmarkEnd w:id="22"/>
      <w:bookmarkEnd w:id="23"/>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t>一般来说，不同地区的扶贫计划是因地、因项制宜的。以“教育扶贫”为例，一般政府采取的政策包括膳食补助、助学贷款助学金和“雨露计划”等。而仙居县的扶贫政策和规划具体是否得到落实，其成效如何，成本与代价又是怎样的，这些问题需要我们在思政实践中通过线上采访与交流得到进一步认识与理解。</w:t>
      </w:r>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t>在社会实践学习和了解的过程中，我们认为仙居县的脱贫攻坚能够实现，最重要的两点就是基层党政干部的无私奉献和正确的决策领导以及能够选择适合仙居自然人文条件的产业发展方向，实现绿色可持续发展和科学发展。</w:t>
      </w:r>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t>如今的林坑村，随着农房改造的完成，林坑村创建生态农业发展基地，大力发展杨梅、水蜜桃等绿色无公害农产品，大力发展农家乐民宿产业，拓展乡村旅游市场。2018年林坑村成功创建县级美丽乡村精品村以及农家乐特色村，同时被评为3A级景区村庄。2019年，林坑村荣获“省善治示范村”称号。</w:t>
      </w:r>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t>这一切，离不开林坑村干部的奋斗和努力，而其中蒋书记就是一位一心一意带领大家脱贫攻坚，共同致富的好干部。蒋书记2011年当选村干部，2012年在政府指导下改造开始动土，74户农民改造开展统一规划，到2014年，取得阶段性成果——基本把房子建起，农户住进新房子；随后，蒋书记带领大家继续开展一系列项目，使林坑村取得了“美丽农村”、“党建示范村”等称号，2018年成为</w:t>
      </w:r>
      <w:r w:rsidRPr="001D1D23">
        <w:rPr>
          <w:rFonts w:ascii="宋体" w:eastAsia="宋体" w:hAnsi="宋体" w:cs="Times New Roman" w:hint="eastAsia"/>
          <w:color w:val="auto"/>
        </w:rPr>
        <w:lastRenderedPageBreak/>
        <w:t>农家乐示范村、3A景区村庄、美丽乡村等；为了解决林坑村位置偏僻、客源少、部分房子闲置等问题，2019年蒋书记带领全村开展农家乐集体经营项目，装修房子、建设祠堂，同时对红色事迹进行挖掘，对古道进行修复，设计了上党课、走古道等主题教育活动，此外蒋书记整合利用闲置土地，打造网红点。为了缓解今年疫情对于林坑村的影响，在蒋书记的努力下，安心购物帮扶平台得以建立，林坑村开展了台州第一家网上村点：村干部收购农户土特产，网上销售，为农户解决产品销售问题。</w:t>
      </w:r>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t>蒋书记对我们说，在十年的村干部经历中，也经历了很多困难，但是他心中一直有个信念，就是改善林坑村的环境和生活质量，有再多的困难，也可以一步一步去解决。对未来，蒋书记希望林坑村能够建立整体产业、招商引资、联系学校打造规划方案等，带领大家紧跟时代潮流，奋斗出美好生活。</w:t>
      </w:r>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t>钱书记是2</w:t>
      </w:r>
      <w:r w:rsidRPr="001D1D23">
        <w:rPr>
          <w:rFonts w:ascii="宋体" w:eastAsia="宋体" w:hAnsi="宋体" w:cs="Times New Roman"/>
          <w:color w:val="auto"/>
        </w:rPr>
        <w:t>0</w:t>
      </w:r>
      <w:r w:rsidRPr="001D1D23">
        <w:rPr>
          <w:rFonts w:ascii="宋体" w:eastAsia="宋体" w:hAnsi="宋体" w:cs="Times New Roman" w:hint="eastAsia"/>
          <w:color w:val="auto"/>
        </w:rPr>
        <w:t>18年分配到林坑村的，是第七任下派的指导员，通过结对帮扶制度建设欠发达乡村。钱书记来到林坑村时对它的第一印象是，交通不便、山区中的山区，尽管环境整洁、房屋外观整齐，但空心化程度非常严重，实际活动人口200人左右，基本都是老年人，资源少，年轻人以外出打工或经商为主，在经济构成中，基本没有集体经济的份额。经过一段时间的考察调研，钱书记决定利用环境好这一优势，发展旅游业，村集体牵头经营、承担费用，让村民愿意加入；依靠仙居整体旅游优势的辐射，通过集体经营的模式发展农家乐、统一加工包装销售山里绿色农产品，逐渐起步完善，发展好林坑村的经济。有了好的带头人，领导班子齐心合力，拧成一股绳，以身作则，形成一股合力，再加上因地制宜，妥善地利用好交通，区位和资源等，扬长避短，前期做好规划，建设的时候不急于求成，而是把准乡村的“脉”，林坑村的经济很快就发展了起来。</w:t>
      </w:r>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t>对于之后，钱书记还有比较充分的规划，第一他希望能够进一步改善交通，修缮道路，第二他计划能够扩容神仙居，让这个仙居的牌子走出去，更加响亮。同时他还对村民的淳朴非常感动，感慨他们对项目都十分支持，年轻干部也把精力投入乡村建设。在这样一个领导干部尽心竭力，人民尽力配合，大家都把精力投入到乡村建设当中的林坑村，成功之路也就在眼前。</w:t>
      </w:r>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t>回乡创业的杨勇，则是淡竹飞速发展的民宿产业的一个代表。杨勇2015年回到了淡竹，投身民宿产业。一方面，政府号召青年到祖国需要的地方去，为脱贫事业做出贡献；另一方面，淡竹地方政府也给予了民宿创业者相当大的支持，鼓励他们发展民宿，带动经济发展。当然，作出这样的职业选择，也离不开杨勇自身的意愿。杨勇在早些时候就和全国各地的民宿经营者打过交道，他认为经营民宿非常符合自己的性格，能给自己带来快乐和成就感。</w:t>
      </w:r>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t>对于一名创业者来说，经验是在实践中逐渐积累的。杨勇开的第一家民宿生意非常火爆，他之后总结原因与优势时，认为选择民宿的开业时间十分重要。彼时，6月正是杨梅成熟的季节，而紧接的7、8月份又是旅游的旺季，客流量十分可观，其中又以长三角地区的游客居多。基于此，在2017年再次选址发展民宿时，他同样选择了在旺季开业，最终大获成功。</w:t>
      </w:r>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t>谈到民宿的理念、设计，杨勇有着更为丰富的认识。首先，他说民宿的关键在于人，要建设好主人文化，给游客一个温馨愉悦的体验。要做到这一点，需要民宿经营者多走多看多学，不断自我迭代。其次，杨勇十分看重民宿的公共区域以及提供个性化的服务。在民宿的设计图纸上，他一再加大公共区域的面积，为游客提供了别致的休闲娱乐体验。通过细心观察，他也发现了不同时段的游客特点——比如旺季以散客为主，淡季以企业团建为主。这是他提供个性化服务的依</w:t>
      </w:r>
      <w:r w:rsidRPr="001D1D23">
        <w:rPr>
          <w:rFonts w:ascii="宋体" w:eastAsia="宋体" w:hAnsi="宋体" w:cs="Times New Roman" w:hint="eastAsia"/>
          <w:color w:val="auto"/>
        </w:rPr>
        <w:lastRenderedPageBreak/>
        <w:t>据之一。最后，杨勇先生还谈到了环保理念和公益理念。得诸社会，还诸社会，杨勇参加了各类公益组织。同时，他也非常注意在给乡村带来振兴的同时，不让环境承担过大的压力，积极参与到当地“光盘行动”和“绿币计划”的实际践行当中。</w:t>
      </w:r>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t>在实现绿色发展、科学发展的过程中，淡竹乡无疑是一个很好的典范。淡竹乡位于仙居县城的西南部，经济底子薄，相对偏僻贫穷；另一方面淡竹乡行政区域大，是台州市面积最大的乡镇之一。淡竹乡的经济建设大有可为，因为它有着优秀的自然禀赋——国家5A级景区大神仙居，4A级淡竹修仙谷等。大片的森林贡献了这里奇高无比的负氧离子含量，使得淡竹乡享有“江南九寨，天然氧吧”的美誉。</w:t>
      </w:r>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t>为了充分利用当地的自然禀赋，淡竹乡注重开发人文环境。如尚仁村、油溪村等全国古村落保护名录村庄及古建筑古迹，与自然美景“五色交辉，相得益彰”。同时，淡竹乡加强基础设施建设，不断提供更完善、优质的公共服务。如游客服务中心、生态停车场、主题公园、标准化旅游标识与导览系统、休闲绿道等等，大大增加了游客满意度。</w:t>
      </w:r>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t>系统地来说，淡竹乡的依靠三类产业和别出心裁的经营方式，打造了其独特的产品体系。其一是“民宿产业+经济”，通过成立旅游开发公司、民宿农家乐协会，制定五星评级标准，同时借助电子商务平台扩大宣传，有力促进了民宿的规模化、规范化发展，形成了有序互补的差异化格局。其二是“文创产业+文化”，将“山、水、竹、村、田、人”六大元素合并为一个有机的综合体，展现了淡竹乡独特的生态理念、哲学理念。最后，是“绿色农业+体验”，淡竹乡打造了一批农家休闲体验区、山水田园观光区、乡土文化体验区，将体验和绿色无公害作为主要特色，将习近平主席的“两山”理念融汇到经济发展中。</w:t>
      </w:r>
    </w:p>
    <w:p w:rsidR="001D1D23" w:rsidRPr="001D1D23" w:rsidRDefault="001D1D23" w:rsidP="001D1D23">
      <w:pPr>
        <w:widowControl w:val="0"/>
        <w:jc w:val="both"/>
        <w:rPr>
          <w:rFonts w:ascii="宋体" w:eastAsia="宋体" w:hAnsi="宋体" w:cs="Times New Roman"/>
          <w:color w:val="auto"/>
        </w:rPr>
      </w:pPr>
      <w:r w:rsidRPr="001D1D23">
        <w:rPr>
          <w:rFonts w:ascii="宋体" w:eastAsia="宋体" w:hAnsi="宋体" w:cs="Times New Roman" w:hint="eastAsia"/>
          <w:color w:val="auto"/>
        </w:rPr>
        <w:tab/>
        <w:t xml:space="preserve"> 在三大产业的支撑下，淡竹乡的发展措施卓有成效。民宿200多家、床位4000多个、日游客接待量可达9000人；平均每家农家乐年收入15万元，带动村民增收10余万元；引进对接精品高端民宿项目，总投资20余亿元……淡竹乡人民确确实实的富起来了。</w:t>
      </w:r>
    </w:p>
    <w:p w:rsidR="001D1D23" w:rsidRPr="001D1D23" w:rsidRDefault="001D1D23" w:rsidP="001D1D23">
      <w:pPr>
        <w:widowControl w:val="0"/>
        <w:jc w:val="both"/>
        <w:rPr>
          <w:rFonts w:ascii="宋体" w:eastAsia="宋体" w:hAnsi="宋体" w:cs="Times New Roman"/>
          <w:color w:val="auto"/>
        </w:rPr>
      </w:pPr>
    </w:p>
    <w:p w:rsidR="001D1D23" w:rsidRPr="001D1D23" w:rsidRDefault="001D1D23" w:rsidP="00DE4F1D">
      <w:pPr>
        <w:widowControl w:val="0"/>
        <w:jc w:val="both"/>
        <w:outlineLvl w:val="1"/>
        <w:rPr>
          <w:rFonts w:ascii="宋体" w:eastAsia="宋体" w:hAnsi="宋体" w:cs="Times New Roman"/>
          <w:b/>
          <w:bCs/>
          <w:color w:val="auto"/>
        </w:rPr>
      </w:pPr>
      <w:bookmarkStart w:id="24" w:name="_Toc31359"/>
      <w:bookmarkStart w:id="25" w:name="_Toc1861"/>
      <w:bookmarkStart w:id="26" w:name="_Toc9881"/>
      <w:r w:rsidRPr="001D1D23">
        <w:rPr>
          <w:rFonts w:ascii="宋体" w:eastAsia="宋体" w:hAnsi="宋体" w:cs="Times New Roman" w:hint="eastAsia"/>
          <w:b/>
          <w:bCs/>
          <w:color w:val="auto"/>
        </w:rPr>
        <w:t>1.3 对仙居县脱贫攻坚的学习体会和总结</w:t>
      </w:r>
      <w:bookmarkEnd w:id="24"/>
      <w:bookmarkEnd w:id="25"/>
      <w:bookmarkEnd w:id="26"/>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t>通过三天与仙居县的领导干部们的交流，我们得出结论，仙居县依托人杰地灵的自然与社会环境，因时因地制宜，发展了以绿色生态山水旅游业（包括农家乐、民宿、自然景区等）和特色农产品销售业（包括土鸡、杨梅、绿茶、土蜂蜜等特色共生模式下的一体化农产品）为主的产业经济模式，具有强大的内在潜力，给脱贫扶贫增添了原始动力，指明了方向。</w:t>
      </w:r>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t>脱贫扶贫不是纸上谈兵，也不是一厢情愿。从设计规划到具体实行，领导干部和群众必须通过和平协商达成一致而非一意孤行强行改造。这样才能更好地保证计划的合理性和可行性，杜绝劳民伤财瞒上欺下的形式主义，真真切切地帮助贫困的群众脱贫。</w:t>
      </w:r>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t>而这些都绝对离不开我们所提到的以钱书记、蒋书记为代表的这些党的基层干部，他们发扬了作为党员大公无私、敢于承担责任的精神，坚持了一切从实际出发，实事求是的原则，也决离不开所有仙居县的人民群众，他们在改革创新的时代精神的引领下，勇立潮头、艰苦奋斗，提高自身技能，创业创收，为仙居县、为国家脱贫攻坚的事业做出了自己的贡献。正是在这样的精神力量的指引下，仙居县在国家全面建成小康社会的大潮流中，激流勇进，实现自身经济的发展。</w:t>
      </w:r>
    </w:p>
    <w:p w:rsidR="001D1D23" w:rsidRPr="001D1D23" w:rsidRDefault="001D1D23" w:rsidP="001D1D23">
      <w:pPr>
        <w:widowControl w:val="0"/>
        <w:jc w:val="both"/>
        <w:rPr>
          <w:rFonts w:ascii="宋体" w:eastAsia="宋体" w:hAnsi="宋体" w:cs="Times New Roman"/>
          <w:color w:val="auto"/>
        </w:rPr>
      </w:pPr>
    </w:p>
    <w:p w:rsidR="001D1D23" w:rsidRPr="001D1D23" w:rsidRDefault="001D1D23" w:rsidP="00DE4F1D">
      <w:pPr>
        <w:widowControl w:val="0"/>
        <w:jc w:val="both"/>
        <w:outlineLvl w:val="0"/>
        <w:rPr>
          <w:rFonts w:ascii="宋体" w:eastAsia="宋体" w:hAnsi="宋体" w:cs="Times New Roman"/>
          <w:b/>
          <w:bCs/>
          <w:color w:val="auto"/>
          <w:sz w:val="32"/>
          <w:szCs w:val="32"/>
        </w:rPr>
      </w:pPr>
      <w:bookmarkStart w:id="27" w:name="_Toc21766"/>
      <w:bookmarkStart w:id="28" w:name="_Toc12629"/>
      <w:bookmarkStart w:id="29" w:name="_Toc26007"/>
      <w:bookmarkStart w:id="30" w:name="_Toc57099160"/>
      <w:r w:rsidRPr="001D1D23">
        <w:rPr>
          <w:rFonts w:ascii="宋体" w:eastAsia="宋体" w:hAnsi="宋体" w:cs="Times New Roman" w:hint="eastAsia"/>
          <w:b/>
          <w:bCs/>
          <w:color w:val="auto"/>
          <w:sz w:val="32"/>
          <w:szCs w:val="32"/>
        </w:rPr>
        <w:t>2.基础设施的建设</w:t>
      </w:r>
      <w:bookmarkEnd w:id="27"/>
      <w:bookmarkEnd w:id="28"/>
      <w:bookmarkEnd w:id="29"/>
      <w:bookmarkEnd w:id="30"/>
    </w:p>
    <w:p w:rsidR="001D1D23" w:rsidRPr="001D1D23" w:rsidRDefault="001D1D23" w:rsidP="00DE4F1D">
      <w:pPr>
        <w:widowControl w:val="0"/>
        <w:jc w:val="both"/>
        <w:outlineLvl w:val="1"/>
        <w:rPr>
          <w:rFonts w:ascii="宋体" w:eastAsia="宋体" w:hAnsi="宋体" w:cs="Times New Roman"/>
          <w:b/>
          <w:bCs/>
          <w:color w:val="auto"/>
        </w:rPr>
      </w:pPr>
      <w:bookmarkStart w:id="31" w:name="_Toc19773"/>
      <w:bookmarkStart w:id="32" w:name="_Toc17038"/>
      <w:bookmarkStart w:id="33" w:name="_Toc2311"/>
      <w:r w:rsidRPr="001D1D23">
        <w:rPr>
          <w:rFonts w:ascii="宋体" w:eastAsia="宋体" w:hAnsi="宋体" w:cs="Times New Roman" w:hint="eastAsia"/>
          <w:b/>
          <w:bCs/>
          <w:color w:val="auto"/>
        </w:rPr>
        <w:t>2.1当地情况概述</w:t>
      </w:r>
      <w:bookmarkEnd w:id="31"/>
      <w:bookmarkEnd w:id="32"/>
      <w:bookmarkEnd w:id="33"/>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t>在仙居县的实践过程中我们了解到，仙居本地村庄脱贫的常用手段是发展旅游业，一方面因为当地自然环境优良，旅游资源丰富，江南山水别具一格，对接当地的特色农业，适宜发展旅游业；另一方面，当地的其他资源禀赋较差，基础设施建设相对落后，没有直接承接、发展第二产业的条件。所以，从因地制宜的立场出发，仙居县的改革发展模式良好契合了当地实况，也响应了绿色发展的需求。建设过程中，在提高村民生活品质的基础上，最大化保障了村庄的基本结构，促进滞留村民就地就业，还能吸引外出村民回乡创业，改善现阶段城市化进程中的问题。</w:t>
      </w:r>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t>就此，东横街村、白塔镇、金竹岭脚村的基层村干部很有发言权。这几个村庄的发展模式很类似，在脱贫道路上都选择农业集体化经营，且带领村民走上民宿产业脱贫致富；他们也面临着相似的前期发展困局——村庄环境闭塞，村庄内原有生活环境差，集体资产匮乏，劳动力流失严重，交通条件恶劣，没有形成团结的基层领导班子。可以说，在真正改善和治理之前，这里只有纯粹美好的自然风光，和外面的交流发展形成“断带”。</w:t>
      </w:r>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t>但是，这些基层领导在面临困局的时候，都意识到：“要想富，先修路”——基础设施的建设才是发展的本源，如此才能促进风景“走出去”，资金“走进来”。村干部们积极招商引资，开辟通往外界的道路，不仅有利于扩大旅游业的影响范围，还能开辟农副产品的销售通道；房屋建设有规划，成体系，积极改善村容村貌，切实做到人畜居住分离，既提升了村民的生活品质，也为后续的民宿产业发展打好基础；充分挖掘旅游资源，和当地特色农业如：杨梅产业相结合，相互蹴鞠；做好旅游宣传，多学习多借鉴，最终形成自己的发展模式，发展特色。</w:t>
      </w:r>
    </w:p>
    <w:p w:rsidR="001D1D23" w:rsidRPr="001D1D23" w:rsidRDefault="001D1D23" w:rsidP="001D1D23">
      <w:pPr>
        <w:widowControl w:val="0"/>
        <w:jc w:val="both"/>
        <w:rPr>
          <w:rFonts w:ascii="宋体" w:eastAsia="宋体" w:hAnsi="宋体" w:cs="Times New Roman"/>
          <w:color w:val="auto"/>
        </w:rPr>
      </w:pPr>
    </w:p>
    <w:p w:rsidR="001D1D23" w:rsidRPr="001D1D23" w:rsidRDefault="001D1D23" w:rsidP="00DE4F1D">
      <w:pPr>
        <w:widowControl w:val="0"/>
        <w:jc w:val="both"/>
        <w:outlineLvl w:val="1"/>
        <w:rPr>
          <w:rFonts w:ascii="宋体" w:eastAsia="宋体" w:hAnsi="宋体" w:cs="Times New Roman"/>
          <w:b/>
          <w:bCs/>
          <w:color w:val="auto"/>
        </w:rPr>
      </w:pPr>
      <w:bookmarkStart w:id="34" w:name="_Toc11338"/>
      <w:bookmarkStart w:id="35" w:name="_Toc29674"/>
      <w:bookmarkStart w:id="36" w:name="_Toc20210"/>
      <w:r w:rsidRPr="001D1D23">
        <w:rPr>
          <w:rFonts w:ascii="宋体" w:eastAsia="宋体" w:hAnsi="宋体" w:cs="Times New Roman" w:hint="eastAsia"/>
          <w:b/>
          <w:bCs/>
          <w:color w:val="auto"/>
        </w:rPr>
        <w:t>2.2 感想和建议</w:t>
      </w:r>
      <w:bookmarkEnd w:id="34"/>
      <w:bookmarkEnd w:id="35"/>
      <w:bookmarkEnd w:id="36"/>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t>听完基层领导们的分享，我们感触良多，中国的发展是伴随着基础设施的发展和完善的，放眼全国是这样，将视角投射在任何一个想要发展的小地区也是这样。</w:t>
      </w:r>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t>在基层领导的分享中，我们认识到村庄的发展要有好的规划，基础设施的完善是根基，眼光要长远，在领导班子迭代的时候要做到发展目标的统一。事实上，即便存在大方向上的困难统一性，每个村子是实际情况仍旧千差万别，区位、交通、基础资源差距大，所以前期一定要结合实际情况形成好的规划，不能为了短期成果、完成任务，就盲目跟风、脱离实际，经验可以借鉴，但是不能照搬。每个地方都有自己的难处，也都有自己的发展机遇，可以说每个村庄的困难有千万种，但他们都殊途同归走上绿色发展、可持续发展的道路。</w:t>
      </w:r>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t>基础设施的建设和完善是发展的基石，是边缘地方挂靠上全国快速发展列车上的通行证。正是因为地方基层领导们长远打算，切实进行实践总结，修设施，引投资，仙居的贫困村庄才得以摆脱发展困局，仙居之外的我们才有机会在“神仙居住之地”的民宿里一睹这里的山水秀美。</w:t>
      </w:r>
    </w:p>
    <w:p w:rsidR="001D1D23" w:rsidRPr="001D1D23" w:rsidRDefault="001D1D23" w:rsidP="001D1D23">
      <w:pPr>
        <w:widowControl w:val="0"/>
        <w:jc w:val="both"/>
        <w:rPr>
          <w:rFonts w:ascii="宋体" w:eastAsia="宋体" w:hAnsi="宋体" w:cs="Times New Roman"/>
          <w:color w:val="auto"/>
        </w:rPr>
      </w:pPr>
    </w:p>
    <w:p w:rsidR="001D1D23" w:rsidRPr="001D1D23" w:rsidRDefault="001D1D23" w:rsidP="00DE4F1D">
      <w:pPr>
        <w:widowControl w:val="0"/>
        <w:jc w:val="both"/>
        <w:outlineLvl w:val="0"/>
        <w:rPr>
          <w:rFonts w:ascii="宋体" w:eastAsia="宋体" w:hAnsi="宋体" w:cs="Times New Roman"/>
          <w:b/>
          <w:bCs/>
          <w:color w:val="auto"/>
          <w:sz w:val="32"/>
          <w:szCs w:val="32"/>
        </w:rPr>
      </w:pPr>
      <w:bookmarkStart w:id="37" w:name="_Toc30389"/>
      <w:bookmarkStart w:id="38" w:name="_Toc14368"/>
      <w:bookmarkStart w:id="39" w:name="_Toc6923"/>
      <w:bookmarkStart w:id="40" w:name="_Toc57099161"/>
      <w:r w:rsidRPr="001D1D23">
        <w:rPr>
          <w:rFonts w:ascii="宋体" w:eastAsia="宋体" w:hAnsi="宋体" w:cs="Times New Roman" w:hint="eastAsia"/>
          <w:b/>
          <w:bCs/>
          <w:color w:val="auto"/>
          <w:sz w:val="32"/>
          <w:szCs w:val="32"/>
        </w:rPr>
        <w:t>3.基层党建工作</w:t>
      </w:r>
      <w:bookmarkEnd w:id="37"/>
      <w:bookmarkEnd w:id="38"/>
      <w:bookmarkEnd w:id="39"/>
      <w:bookmarkEnd w:id="40"/>
    </w:p>
    <w:p w:rsidR="001D1D23" w:rsidRPr="001D1D23" w:rsidRDefault="001D1D23" w:rsidP="00DE4F1D">
      <w:pPr>
        <w:widowControl w:val="0"/>
        <w:jc w:val="both"/>
        <w:outlineLvl w:val="1"/>
        <w:rPr>
          <w:rFonts w:ascii="宋体" w:eastAsia="宋体" w:hAnsi="宋体" w:cs="Times New Roman"/>
          <w:b/>
          <w:bCs/>
          <w:color w:val="auto"/>
        </w:rPr>
      </w:pPr>
      <w:bookmarkStart w:id="41" w:name="_Toc6869"/>
      <w:bookmarkStart w:id="42" w:name="_Toc9715"/>
      <w:bookmarkStart w:id="43" w:name="_Toc16922"/>
      <w:r w:rsidRPr="001D1D23">
        <w:rPr>
          <w:rFonts w:ascii="宋体" w:eastAsia="宋体" w:hAnsi="宋体" w:cs="Times New Roman" w:hint="eastAsia"/>
          <w:b/>
          <w:bCs/>
          <w:color w:val="auto"/>
        </w:rPr>
        <w:lastRenderedPageBreak/>
        <w:t>3.1 当地情况概述</w:t>
      </w:r>
      <w:bookmarkEnd w:id="41"/>
      <w:bookmarkEnd w:id="42"/>
      <w:bookmarkEnd w:id="43"/>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t>听了来自东横街村、白塔镇、金竹溪村的各位基层干部的分享，我们意识到无论各地因地制宜采取怎样的方法脱贫致富，党员干部的带头作用都是成功的一个重要因素。</w:t>
      </w:r>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t>东横街村的许子兵书记在当地民宿刚刚起步时，为战胜落后的交通状况，亲自驾车往返拉客，甚至几度病倒入院，他特别强调了“1234工作法”，村里的集体资产积累、道路建设都要靠党员打头阵。</w:t>
      </w:r>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t>白塔镇的蒋炜烽委员也指出，成功的乡村必须有一个强有力的党支部，美丽党建是美丽乡村的灵魂，红色党旗引领美丽乡村建设。白塔镇的基层经费不多，却仍大力支持基层干部的培训，让他们到各地学习经验，指导本地的建设。当地党员也总是以身作则，亲身示范，加强了队伍内部、干部和人民的凝聚力。</w:t>
      </w:r>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t>金竹溪村的农村工作指导员张新建更是鞠躬尽瘁，事事亲力亲为，深受民众爱戴，这足以体现基层党员干部要深入到人民群众中去。他也提到，劝说两名应拆迁村民失败时，当地联系其家中的党员干部亲戚劝说，拆一批建一批，最终使村民回心转意。由此可见，党员干部也是沟通政策与人民的桥梁。</w:t>
      </w:r>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t>相反地，曾作为先进示范村的振兴村却在短短几年间面貌大不如前，被省委组织部定为软弱涣散村，其中的缘由也正是基层党建工作没有到位。村两委干部之间的矛盾尖锐，各有自己的小算盘，干部如此，村民自然也就如此，人心散了，又形成了自扫门前雪的老习惯。村两委议事效率低下，难议事、难决策、难落实现象普遍存在，内耗严重，凝聚力和战斗力差。这也从反面印证了，党员干部是乡村振兴工作的领头羊，强有力的基层党建工作更是一切惠民措施得以诞生和落实的前提。</w:t>
      </w:r>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t>如今，张新建指导员再次担起大任，来到了振兴村。通过带领干部外出学习，与每个干部谈心，开设民主生活会，处理四名失职干部等一系列措施，他正在改变振兴村党建工作的面貌，我们也相信，假以时日，振兴村也能够重拾昔日的欣欣向荣。</w:t>
      </w:r>
    </w:p>
    <w:p w:rsidR="001D1D23" w:rsidRPr="001D1D23" w:rsidRDefault="001D1D23" w:rsidP="001D1D23">
      <w:pPr>
        <w:widowControl w:val="0"/>
        <w:jc w:val="both"/>
        <w:rPr>
          <w:rFonts w:ascii="宋体" w:eastAsia="宋体" w:hAnsi="宋体" w:cs="Times New Roman"/>
          <w:color w:val="auto"/>
        </w:rPr>
      </w:pPr>
    </w:p>
    <w:p w:rsidR="001D1D23" w:rsidRPr="001D1D23" w:rsidRDefault="001D1D23" w:rsidP="00DE4F1D">
      <w:pPr>
        <w:widowControl w:val="0"/>
        <w:jc w:val="both"/>
        <w:outlineLvl w:val="1"/>
        <w:rPr>
          <w:rFonts w:ascii="宋体" w:eastAsia="宋体" w:hAnsi="宋体" w:cs="Times New Roman"/>
          <w:b/>
          <w:bCs/>
          <w:color w:val="auto"/>
        </w:rPr>
      </w:pPr>
      <w:bookmarkStart w:id="44" w:name="_Toc19810"/>
      <w:bookmarkStart w:id="45" w:name="_Toc4561"/>
      <w:bookmarkStart w:id="46" w:name="_Toc13856"/>
      <w:r w:rsidRPr="001D1D23">
        <w:rPr>
          <w:rFonts w:ascii="宋体" w:eastAsia="宋体" w:hAnsi="宋体" w:cs="Times New Roman" w:hint="eastAsia"/>
          <w:b/>
          <w:bCs/>
          <w:color w:val="auto"/>
        </w:rPr>
        <w:t>3.2 感想与建议</w:t>
      </w:r>
      <w:bookmarkEnd w:id="44"/>
      <w:bookmarkEnd w:id="45"/>
      <w:bookmarkEnd w:id="46"/>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t>在提问与交流环节，有同学提出在基层干部不断变换的情况下，常常会出现政策的实施没有连续性，很多政策可能随着干部的离任就终止执行了。张新建指导员回答了这个问题，他仍以振兴村为例，在原领导调离后，新领导没有牢记全心全意为人民服务的宗旨，把个人恩怨带到工作中，导致干群关系的紧张。因此解决问题的核心仍是加强对党员干部的思想工作，让党员干部牢记为民服务的宗旨，一切政策、一切工作都以人民福祉为出发点和最终的落脚点。这再次印证了基层党建工作对于脱贫攻坚的重要性。</w:t>
      </w:r>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t>此外，仙居当地的“仙燕归巢”项目利用寒暑假等时间，对大学生进行思想政治教育，带领大学生亲历红色故事。这种模式也是党建工作的一环，不断巩固大学生牢记人民福祉的意识，也为基层干部输送了更多人才。在林坑乡的脱贫故事中，干部提到，当地通过对红色事迹进行挖掘、古道进行修复，设计了上党课、走古道等主题教育活动，既为旅游活动增光添彩，也促进了党的历史、事迹、精神的教育。这两种方式将基层党建工作与乡村脱贫攻坚任务结合起来，值得我们借鉴和思考。</w:t>
      </w:r>
    </w:p>
    <w:p w:rsidR="001D1D23" w:rsidRPr="001D1D23" w:rsidRDefault="001D1D23" w:rsidP="00DE4F1D">
      <w:pPr>
        <w:widowControl w:val="0"/>
        <w:jc w:val="both"/>
        <w:outlineLvl w:val="0"/>
        <w:rPr>
          <w:rFonts w:ascii="宋体" w:eastAsia="宋体" w:hAnsi="宋体" w:cs="Times New Roman"/>
          <w:b/>
          <w:bCs/>
          <w:color w:val="auto"/>
          <w:sz w:val="32"/>
          <w:szCs w:val="32"/>
        </w:rPr>
      </w:pPr>
      <w:bookmarkStart w:id="47" w:name="_Toc26027"/>
      <w:bookmarkStart w:id="48" w:name="_Toc23011"/>
      <w:bookmarkStart w:id="49" w:name="_Toc23261"/>
      <w:bookmarkStart w:id="50" w:name="_Toc57099162"/>
      <w:r w:rsidRPr="001D1D23">
        <w:rPr>
          <w:rFonts w:ascii="宋体" w:eastAsia="宋体" w:hAnsi="宋体" w:cs="Times New Roman" w:hint="eastAsia"/>
          <w:b/>
          <w:bCs/>
          <w:color w:val="auto"/>
          <w:sz w:val="32"/>
          <w:szCs w:val="32"/>
        </w:rPr>
        <w:t>4.特色农业与乡村振兴</w:t>
      </w:r>
      <w:bookmarkEnd w:id="47"/>
      <w:bookmarkEnd w:id="48"/>
      <w:bookmarkEnd w:id="49"/>
      <w:bookmarkEnd w:id="50"/>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lastRenderedPageBreak/>
        <w:t>杨梅是仙居一张闪亮的名片，不仅出售鲜杨梅和杨梅加工制品为当地梅农带来丰厚的利润，杨梅采摘等农业体验环节更作为当地观光农业、民宿经营的一大特色，在同质化竞争相对严重的市郊旅游市场为仙居赋予了独特的吸引力。杨梅既是仙居农业转型发展的典型代表，也是一二三产业融合发展的核心特色。仙居杨梅产业的发展离不开天然禀赋宜农、先进技术促农、制度手段助农。</w:t>
      </w:r>
    </w:p>
    <w:p w:rsidR="001D1D23" w:rsidRPr="001D1D23" w:rsidRDefault="001D1D23" w:rsidP="001D1D23">
      <w:pPr>
        <w:widowControl w:val="0"/>
        <w:jc w:val="both"/>
        <w:rPr>
          <w:rFonts w:ascii="宋体" w:eastAsia="宋体" w:hAnsi="宋体" w:cs="Times New Roman"/>
          <w:b/>
          <w:bCs/>
          <w:color w:val="auto"/>
        </w:rPr>
      </w:pPr>
    </w:p>
    <w:p w:rsidR="001D1D23" w:rsidRPr="001D1D23" w:rsidRDefault="001D1D23" w:rsidP="00DE4F1D">
      <w:pPr>
        <w:widowControl w:val="0"/>
        <w:jc w:val="both"/>
        <w:outlineLvl w:val="1"/>
        <w:rPr>
          <w:rFonts w:ascii="宋体" w:eastAsia="宋体" w:hAnsi="宋体" w:cs="Times New Roman"/>
          <w:b/>
          <w:bCs/>
          <w:color w:val="auto"/>
        </w:rPr>
      </w:pPr>
      <w:bookmarkStart w:id="51" w:name="_Toc21092"/>
      <w:bookmarkStart w:id="52" w:name="_Toc4555"/>
      <w:bookmarkStart w:id="53" w:name="_Toc18802"/>
      <w:r w:rsidRPr="001D1D23">
        <w:rPr>
          <w:rFonts w:ascii="宋体" w:eastAsia="宋体" w:hAnsi="宋体" w:cs="Times New Roman" w:hint="eastAsia"/>
          <w:b/>
          <w:bCs/>
          <w:color w:val="auto"/>
        </w:rPr>
        <w:t>4.1 天然禀赋：中国杨梅数仙居</w:t>
      </w:r>
      <w:bookmarkEnd w:id="51"/>
      <w:bookmarkEnd w:id="52"/>
      <w:bookmarkEnd w:id="53"/>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t>浙江省仙居县地处中国东南部，北纬29°温润的亚热带季风气候为地区带来了充分的降水并为果实生长成熟提供热量；昼夜温差大，果实含糖量较高；江南丘陵的红土地有机质含量丰富，酸碱度适中，恰好符合杨梅树喜酸的特性，同时当地由于火山流纹岩地貌而形成了大小不一的谷底和盆地，适合仙居杨梅于小气候种植，早上市，晚落市。</w:t>
      </w:r>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t>仙居栽培杨梅已有1000多年的历史，是史上最早栽培杨梅、也是全国最适合种植杨梅的县域之一，至今仙居仍存有大量树龄百年以上的古杨梅树。历史上，仙居从闵超开始普遍种植杨梅，并在以后不断引进了新的品种。上世纪80年代中后期，仙居陆续引进、嫁接东魁、荸荠种杨梅，大大丰富了仙居出产杨梅的品种。90年代后期，仙居县拉开杨梅产业化进程，一干青年才俊带领乡民不断研究杨梅种植技术，改善杨梅品质，提高了市场竞争力。当下，仙居杨梅作为一项富民产业得到了政府的大力引导和扶持，形成了20多个杨梅产地市场、完善的杨梅生产链和优质的杨梅品牌，为仙居农民的脱贫致富发挥了重要作用。</w:t>
      </w:r>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t>仙居主要出产四个品种的杨梅：水梅、东魁杨梅、荸荠杨梅和水晶杨梅。仙居杨梅大多个大、味甜、核小，其中东魁杨梅在仙居的单果重平均已有20克，号称“东方之魁”。仙居杨梅用途甚广，其果实到根到树皮皆有功效（消食，止血等），这也为仙居发展杨梅深加工产业，提高产品附加值提供了条件。</w:t>
      </w:r>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t>随着历代先民以种植杨梅艰苦谋生，杨梅文化也渗透进村民的衣食住行之中。传统的杨梅烧鸡等美食和酿造的杨梅酒都是礼客时的必备；如今仙居县还有很多以杨梅为元素的装饰用品，寓意丰富，古民居或古村落的物件里也能见到杨梅的影子；民俗方面杨梅经常作为出嫁女儿的嫁妆或者兄弟之间分家的物品，承载着浓浓的传统文化和意蕴。</w:t>
      </w:r>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t>凭借卓越的杨梅品质与深厚的杨梅文化，浙江仙居杨梅已经打出了品牌，行业内流传“世界杨梅在中国，中国杨梅出浙江，浙江杨梅数仙居”的说法。早在1994年，著名科学家严济慈品尝仙居杨梅后欣然题写了“仙梅”二字。历经数十年的发展，仙居杨梅所获名牌产品称号无数，享誉国外，销售路径不断拓宽，远销欧美、东南亚等地区，属于我国出口创汇的传统产品。</w:t>
      </w:r>
    </w:p>
    <w:p w:rsidR="001D1D23" w:rsidRPr="001D1D23" w:rsidRDefault="001D1D23" w:rsidP="001D1D23">
      <w:pPr>
        <w:widowControl w:val="0"/>
        <w:jc w:val="both"/>
        <w:rPr>
          <w:rFonts w:ascii="宋体" w:eastAsia="宋体" w:hAnsi="宋体" w:cs="Times New Roman"/>
          <w:color w:val="auto"/>
        </w:rPr>
      </w:pPr>
    </w:p>
    <w:p w:rsidR="001D1D23" w:rsidRPr="001D1D23" w:rsidRDefault="001D1D23" w:rsidP="00DE4F1D">
      <w:pPr>
        <w:widowControl w:val="0"/>
        <w:jc w:val="both"/>
        <w:outlineLvl w:val="1"/>
        <w:rPr>
          <w:rFonts w:ascii="宋体" w:eastAsia="宋体" w:hAnsi="宋体" w:cs="Times New Roman"/>
          <w:b/>
          <w:bCs/>
          <w:color w:val="auto"/>
        </w:rPr>
      </w:pPr>
      <w:bookmarkStart w:id="54" w:name="_Toc16921"/>
      <w:bookmarkStart w:id="55" w:name="_Toc8923"/>
      <w:bookmarkStart w:id="56" w:name="_Toc8601"/>
      <w:r w:rsidRPr="001D1D23">
        <w:rPr>
          <w:rFonts w:ascii="宋体" w:eastAsia="宋体" w:hAnsi="宋体" w:cs="Times New Roman" w:hint="eastAsia"/>
          <w:b/>
          <w:bCs/>
          <w:color w:val="auto"/>
        </w:rPr>
        <w:t>4.2 农业技术：科学结构和严格监管</w:t>
      </w:r>
      <w:bookmarkEnd w:id="54"/>
      <w:bookmarkEnd w:id="55"/>
      <w:bookmarkEnd w:id="56"/>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t>温润的季风气候、江南丘陵红土地、火山流纹岩地貌形成的小气候……这些得天独厚的自然生态和山水灵气共同孕育了品质卓越的仙居杨梅。不仅如此，完善的农业技术更是为其销往全国、冲出国门打下了坚实的基础。</w:t>
      </w:r>
    </w:p>
    <w:p w:rsidR="001D1D23" w:rsidRPr="001D1D23" w:rsidRDefault="001D1D23" w:rsidP="001D1D23">
      <w:pPr>
        <w:widowControl w:val="0"/>
        <w:jc w:val="both"/>
        <w:rPr>
          <w:rFonts w:ascii="宋体" w:eastAsia="宋体" w:hAnsi="宋体" w:cs="Times New Roman"/>
          <w:b/>
          <w:bCs/>
          <w:color w:val="auto"/>
        </w:rPr>
      </w:pPr>
      <w:r w:rsidRPr="001D1D23">
        <w:rPr>
          <w:rFonts w:ascii="宋体" w:eastAsia="宋体" w:hAnsi="宋体" w:cs="Times New Roman" w:hint="eastAsia"/>
          <w:b/>
          <w:bCs/>
          <w:color w:val="auto"/>
        </w:rPr>
        <w:t>4.2.1 “梅－茶－鸡－蜂”共生共存的农业复合生态模式</w:t>
      </w:r>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t>杨梅与茶树间作混栽，仙居鸡饲养于梅林之中，梅林为仙居土蜂提供活动空间，构成了多物种共生共存的农业复合生态模式；林下茶枝繁茂，坡上山鸡跳跃，林间土蜂振翅，构成一幅生态和谐的自然画卷。这就是仙居延续千年的古杨梅群复合种养系统。系统复合协调共生，达到水土保持、水源涵养、增湿控湿的功能。</w:t>
      </w:r>
      <w:r w:rsidRPr="001D1D23">
        <w:rPr>
          <w:rFonts w:ascii="宋体" w:eastAsia="宋体" w:hAnsi="宋体" w:cs="Times New Roman" w:hint="eastAsia"/>
          <w:color w:val="auto"/>
        </w:rPr>
        <w:lastRenderedPageBreak/>
        <w:t>具体而言，杨梅为土鸡提供了活动空间和饲料来源，同时土鸡能帮助杨梅除草除虫、粪便又能作为肥料；杨梅为茶树保水保肥、阻风抗寒，反之茶树帮助增加土壤粗糙度、减缓径流度腐殖质为系统提供优质肥料；剩余空间利用于土蜂培育。</w:t>
      </w:r>
    </w:p>
    <w:p w:rsidR="001D1D23" w:rsidRPr="001D1D23" w:rsidRDefault="001D1D23" w:rsidP="001D1D23">
      <w:pPr>
        <w:widowControl w:val="0"/>
        <w:jc w:val="both"/>
        <w:rPr>
          <w:rFonts w:ascii="宋体" w:eastAsia="宋体" w:hAnsi="宋体" w:cs="Times New Roman"/>
          <w:color w:val="auto"/>
        </w:rPr>
      </w:pPr>
      <w:r w:rsidRPr="001D1D23">
        <w:rPr>
          <w:rFonts w:ascii="宋体" w:eastAsia="宋体" w:hAnsi="宋体" w:cs="Times New Roman" w:hint="eastAsia"/>
          <w:color w:val="auto"/>
        </w:rPr>
        <w:t>除此之外，仙居还实施了“杨梅品牌工程”、“万亩杨梅上高山”、“百里杨梅长廊”等技术手段，现今仙居杨梅面积、产量和产后商品化处理能力渐居全国之首，其品牌价值达20.67亿元。在科技创新方面，率先探索出杨梅无性繁殖技术，通过选种嫁接，把杨梅从最原始的铁梅等改良成了个大味甜的优质杨梅。</w:t>
      </w:r>
    </w:p>
    <w:p w:rsidR="001D1D23" w:rsidRPr="001D1D23" w:rsidRDefault="001D1D23" w:rsidP="001D1D23">
      <w:pPr>
        <w:widowControl w:val="0"/>
        <w:jc w:val="both"/>
        <w:rPr>
          <w:rFonts w:ascii="宋体" w:eastAsia="宋体" w:hAnsi="宋体" w:cs="Times New Roman"/>
          <w:color w:val="auto"/>
        </w:rPr>
      </w:pPr>
    </w:p>
    <w:p w:rsidR="001D1D23" w:rsidRPr="001D1D23" w:rsidRDefault="001D1D23" w:rsidP="001D1D23">
      <w:pPr>
        <w:widowControl w:val="0"/>
        <w:jc w:val="both"/>
        <w:rPr>
          <w:rFonts w:ascii="宋体" w:eastAsia="宋体" w:hAnsi="宋体" w:cs="Times New Roman"/>
          <w:b/>
          <w:bCs/>
          <w:color w:val="auto"/>
        </w:rPr>
      </w:pPr>
      <w:r w:rsidRPr="001D1D23">
        <w:rPr>
          <w:rFonts w:ascii="宋体" w:eastAsia="宋体" w:hAnsi="宋体" w:cs="Times New Roman" w:hint="eastAsia"/>
          <w:b/>
          <w:bCs/>
          <w:color w:val="auto"/>
        </w:rPr>
        <w:t>4.2.2 精深加工调结构</w:t>
      </w:r>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t>仙居杨梅最大的特点就是一个鲜字，保鲜运输是其中极为重要的一环。21世纪以来，仙居杨梅迈入产业化发展之路，实施精深加工调结构。</w:t>
      </w:r>
    </w:p>
    <w:p w:rsidR="001D1D23" w:rsidRPr="001D1D23" w:rsidRDefault="001D1D23" w:rsidP="001D1D23">
      <w:pPr>
        <w:widowControl w:val="0"/>
        <w:ind w:firstLineChars="200" w:firstLine="480"/>
        <w:jc w:val="both"/>
        <w:rPr>
          <w:rFonts w:ascii="宋体" w:eastAsia="宋体" w:hAnsi="宋体" w:cs="Times New Roman"/>
          <w:b/>
          <w:bCs/>
          <w:color w:val="auto"/>
        </w:rPr>
      </w:pPr>
      <w:r w:rsidRPr="001D1D23">
        <w:rPr>
          <w:rFonts w:ascii="宋体" w:eastAsia="宋体" w:hAnsi="宋体" w:cs="Times New Roman" w:hint="eastAsia"/>
          <w:color w:val="auto"/>
        </w:rPr>
        <w:t>保鲜储运技术成熟。目前全县已建立300多个小型冷库，根据保鲜储运的不同处理技术和不同消费地点，开展冰袋保鲜、微孔气调保鲜、泡沫箱防震、冷库贮藏、全程冷链运输等方式，降低储运温度和果实呼吸强度，形成了一整套较为成熟的储运技术。</w:t>
      </w:r>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t>加强与物流企业合作，保障杨梅运输的速度和质量。可靠的物流使得仙居杨梅成功出口加拿大、荷兰、澳大利亚、阿联酋等国家。</w:t>
      </w:r>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t>深加工技术完善且不断创新。现拥有两条投资总额近亿元，国内首创的万吨级杨梅深加工生产线。深加工产品类型达30多种，拥有杨梅加工、包装等专利18项以上，形成了杨梅原汁、浓缩汁、干红、干白、泡酒、醋饮，并开发了酥、膏、果酱、酵素、冰激凌、杨梅花青素、杨梅籽油等新产品。</w:t>
      </w:r>
    </w:p>
    <w:p w:rsidR="001D1D23" w:rsidRPr="001D1D23" w:rsidRDefault="001D1D23" w:rsidP="001D1D23">
      <w:pPr>
        <w:widowControl w:val="0"/>
        <w:jc w:val="both"/>
        <w:rPr>
          <w:rFonts w:ascii="宋体" w:eastAsia="宋体" w:hAnsi="宋体" w:cs="Times New Roman"/>
          <w:b/>
          <w:bCs/>
          <w:color w:val="auto"/>
        </w:rPr>
      </w:pPr>
    </w:p>
    <w:p w:rsidR="001D1D23" w:rsidRPr="001D1D23" w:rsidRDefault="001D1D23" w:rsidP="001D1D23">
      <w:pPr>
        <w:widowControl w:val="0"/>
        <w:jc w:val="both"/>
        <w:rPr>
          <w:rFonts w:ascii="宋体" w:eastAsia="宋体" w:hAnsi="宋体" w:cs="Times New Roman"/>
          <w:b/>
          <w:bCs/>
          <w:color w:val="auto"/>
        </w:rPr>
      </w:pPr>
      <w:r w:rsidRPr="001D1D23">
        <w:rPr>
          <w:rFonts w:ascii="宋体" w:eastAsia="宋体" w:hAnsi="宋体" w:cs="Times New Roman" w:hint="eastAsia"/>
          <w:b/>
          <w:bCs/>
          <w:color w:val="auto"/>
        </w:rPr>
        <w:t>4.2.3 围绕总目标——“保障每一颗杨梅都能经得起检验”</w:t>
      </w:r>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t>仙居杨梅的保护开发围绕一个目标，即“保障每一颗杨梅都能经得起检验”，为此仙居实施了六大方面的工作。</w:t>
      </w:r>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t>第一，采用梯度开发。在低山缓坡上发展早熟的荸荠种杨梅，在中高山区发展东魁等晚熟品种，利用海拔高度差拉长杨梅采收期，使整个采摘期大约50天。</w:t>
      </w:r>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t>第二，坚持生态栽培。实施标准化生产，推广果园生草、增施有机肥等种植方式，以土壤自身的肥力为基础，为杨梅质量安全提供生态果园环境，同时建设杨梅钢架大棚、罗曼帐篷等避雨栽培设施。</w:t>
      </w:r>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t>第三，实行绿色防控。统防统治基本全覆盖，目前杀虫灯、黄板粘卡等物理防治面积已达10万多亩。</w:t>
      </w:r>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t>第四，实施全过程监管。县级抽调农业农村、市场监管等部门人员集中办公，乡镇强化基层检测，充分利用20多个乡镇街道的定性检测室，村级配备杨梅质量安全监管员，实现监管全覆盖。</w:t>
      </w:r>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t>第五，采用全方位抽测。开展行业、产地、环节全过程质量检测，检测面覆盖全县投产杨梅园和杨梅市场。</w:t>
      </w:r>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t>第六，实施常态化执法。建立“竹竿队”，对杨梅抽查检测不合格的，将该种植户的所有杨梅一律敲落停采，同时建立最严格的仙居杨梅联合执法机制，严厉打击违法行为。</w:t>
      </w:r>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t>仙居积极做好“杨梅+科学”文章，促进杨梅产业的转型升级。技术方面，仙居实施生态栽培和标准化生产，大力推广果园生草增施有机肥等科学种植模式，实行杨梅统防统治；检测方面，建立以县级农产品检测中心为引领的县－乡－村三级杨梅质量安全监管制度，开展行业－产地－环节杨梅全过程质量检测工作，</w:t>
      </w:r>
      <w:r w:rsidRPr="001D1D23">
        <w:rPr>
          <w:rFonts w:ascii="宋体" w:eastAsia="宋体" w:hAnsi="宋体" w:cs="Times New Roman" w:hint="eastAsia"/>
          <w:color w:val="auto"/>
        </w:rPr>
        <w:lastRenderedPageBreak/>
        <w:t>形成最严格的联合执法。科学技术和严格监管的结合构成了一个纵向到底、横向到边的杨梅绿色防控体系。</w:t>
      </w:r>
    </w:p>
    <w:p w:rsidR="001D1D23" w:rsidRPr="001D1D23" w:rsidRDefault="001D1D23" w:rsidP="001D1D23">
      <w:pPr>
        <w:widowControl w:val="0"/>
        <w:jc w:val="both"/>
        <w:rPr>
          <w:rFonts w:ascii="宋体" w:eastAsia="宋体" w:hAnsi="宋体" w:cs="Times New Roman"/>
          <w:b/>
          <w:bCs/>
          <w:color w:val="auto"/>
        </w:rPr>
      </w:pPr>
    </w:p>
    <w:p w:rsidR="001D1D23" w:rsidRPr="001D1D23" w:rsidRDefault="001D1D23" w:rsidP="00DE4F1D">
      <w:pPr>
        <w:widowControl w:val="0"/>
        <w:jc w:val="both"/>
        <w:outlineLvl w:val="1"/>
        <w:rPr>
          <w:rFonts w:ascii="宋体" w:eastAsia="宋体" w:hAnsi="宋体" w:cs="Times New Roman"/>
          <w:b/>
          <w:bCs/>
          <w:color w:val="auto"/>
        </w:rPr>
      </w:pPr>
      <w:bookmarkStart w:id="57" w:name="_Toc13463"/>
      <w:bookmarkStart w:id="58" w:name="_Toc28127"/>
      <w:bookmarkStart w:id="59" w:name="_Toc17179"/>
      <w:r w:rsidRPr="001D1D23">
        <w:rPr>
          <w:rFonts w:ascii="宋体" w:eastAsia="宋体" w:hAnsi="宋体" w:cs="Times New Roman" w:hint="eastAsia"/>
          <w:b/>
          <w:bCs/>
          <w:color w:val="auto"/>
        </w:rPr>
        <w:t>4.3制度手段：线上政务平台与财税政策</w:t>
      </w:r>
      <w:bookmarkEnd w:id="57"/>
      <w:bookmarkEnd w:id="58"/>
      <w:bookmarkEnd w:id="59"/>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t>仙居当地开发的“亲农在线”平台，是一次面向农民的线上政务创新，核心的功能是实现农民远程、线上开具发票。其产生的经济效益和对税收政策的影响，以及相关的补助措施是否有效率，是我们需要思考的问题。</w:t>
      </w:r>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t>发票是商业经营及纳税的凭证，但长久以来，开具发票对于仙居梅农而言是困难而繁琐的程序。国家对于自产自销的农产品给予了优惠的免税政策，但由于政策规定的免税条件严谨而苛刻，农民开具发票需要完成复杂的“自产自销”证明，且跋涉崎岖山路来到县里的税务机构办理手续，开票过程常常需要耗费一天。在杨梅成熟的农忙季节，这样耗时的活动常常耽误杨梅的采摘，杨梅的新鲜程度和价格也随时间逐步降低。仙居当地通过开发“亲农在线”的线上政务平台，将此前繁琐的线下开票过程完全转移到线上。一则极大减少了开具证明和长途跋涉的时间，二则将远程开票变为可能，梅农在外工作的子女可代父母线上办理各项政务。</w:t>
      </w:r>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t>开具发票的成本极大打击了梅农开票的意愿，而“亲农在线”的开通无疑鼓励了农民自行开具发票。这样的行为本身对各项税收制度的效果产生了进一步的影响。</w:t>
      </w:r>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t>首先，针对农产品的免税政策真正得到落实。此前，农民虽然不需要直接纳税，但其开具发票需要付出不小的成本。农民常通过经销商出售杨梅以避免开票成本，免税政策的部分福利则作为租金转移到了开票更为便利的经销商中。农民没有直接纳税，但经销商通过压低农产品价格将税收间接转移到农民身上，换言之，免税政策没有实现农产品的零税率。农民自行开票减少了交易的中间环节，进一步降低了农产品的实际税率。</w:t>
      </w:r>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t>其次，农产品深加工企业的纳税情况得到规范。由于农民此前普遍没有自行开具发票的能力，农产品深加工企业没有关于其农产品原料的纳税证明，因此农产品深加工企业被特许自行计算农产品成本作为进项抵扣。在没有发票证明的情况下，对企业成本的审计十分困难，信息的不对称为企业创造了夸大进项抵扣，规避税收的操作空间。因此农产品深加工企业虚增进项抵扣的情况在全国各地皆有发生。在农民可以自行开发票的情况下，农产品深加工企业成本审计的证据将更加充分，纳税情况的监管将更容易实施。</w:t>
      </w:r>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t>遗憾的是，税收政策的套利空间依然存在。虽然农产品深加工企业使用的农产品原料成本将有农民开具的发票作为证据，但每一笔农产品交易的数量和价格仍是不完全透明的。套利的根源在于农民与企业的税率有差异，企业可以选择与农民合谋，在增值税体系下将更多的税基分摊到农民身上，具体的操作仍是虚增农产品的成本，而农民受免税政策优惠没有拒绝合谋的动机，最终农民和企业将共同分摊规避税收的收益。对于这种现象，当地政府只有采取行政手段介入，对当年该户农民的产量与市场价格进行调查，将虚增发票的额度控制在一定范围之内。</w:t>
      </w:r>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t>在无法消除信息不对称的情况下，对农民的财政扶持方式也许有调整的空间。对农产品深加工企业以一定的比例征税或计算进项抵扣是一种方法，可以直接消除企业夸大进项抵扣的动机。另一种方法是放弃对农民的税收优惠，使农民与农产品加工企业适用统一税率，也可以减少改变税基分摊结构的套利动机，并采用</w:t>
      </w:r>
      <w:r w:rsidRPr="001D1D23">
        <w:rPr>
          <w:rFonts w:ascii="宋体" w:eastAsia="宋体" w:hAnsi="宋体" w:cs="Times New Roman" w:hint="eastAsia"/>
          <w:color w:val="auto"/>
        </w:rPr>
        <w:lastRenderedPageBreak/>
        <w:t>对农户的补贴、转移支付等其他手段补助农户。或是以更科学的方法测量农产品下游各环节的税收分摊，并予以返还以实现农产品的零税率，都是可以思考的政策方向。但正如此前的税收优惠适用到基层总是产生各种问题，新的政策思路也必须经过试点实践，在完全科学的税制产生之前，借助“亲农平台”这样的新科技新技术，提高交易的透明度和监管措施的精准度，也不失为有效的改进方式。</w:t>
      </w:r>
    </w:p>
    <w:p w:rsidR="001D1D23" w:rsidRPr="001D1D23" w:rsidRDefault="001D1D23" w:rsidP="001D1D23">
      <w:pPr>
        <w:widowControl w:val="0"/>
        <w:jc w:val="both"/>
        <w:rPr>
          <w:rFonts w:ascii="宋体" w:eastAsia="宋体" w:hAnsi="宋体" w:cs="Times New Roman"/>
          <w:color w:val="auto"/>
        </w:rPr>
      </w:pPr>
    </w:p>
    <w:p w:rsidR="001D1D23" w:rsidRPr="001D1D23" w:rsidRDefault="001D1D23" w:rsidP="00DE4F1D">
      <w:pPr>
        <w:widowControl w:val="0"/>
        <w:jc w:val="both"/>
        <w:outlineLvl w:val="0"/>
        <w:rPr>
          <w:rFonts w:ascii="宋体" w:eastAsia="宋体" w:hAnsi="宋体" w:cs="Times New Roman"/>
          <w:b/>
          <w:bCs/>
          <w:color w:val="auto"/>
          <w:sz w:val="32"/>
          <w:szCs w:val="32"/>
        </w:rPr>
      </w:pPr>
      <w:bookmarkStart w:id="60" w:name="_Toc24041"/>
      <w:bookmarkStart w:id="61" w:name="_Toc24812"/>
      <w:bookmarkStart w:id="62" w:name="_Toc25502"/>
      <w:bookmarkStart w:id="63" w:name="_Toc57099163"/>
      <w:r w:rsidRPr="001D1D23">
        <w:rPr>
          <w:rFonts w:ascii="宋体" w:eastAsia="宋体" w:hAnsi="宋体" w:cs="Times New Roman" w:hint="eastAsia"/>
          <w:b/>
          <w:bCs/>
          <w:color w:val="auto"/>
          <w:sz w:val="32"/>
          <w:szCs w:val="32"/>
        </w:rPr>
        <w:t>5.总结</w:t>
      </w:r>
      <w:bookmarkEnd w:id="60"/>
      <w:bookmarkEnd w:id="61"/>
      <w:bookmarkEnd w:id="62"/>
      <w:bookmarkEnd w:id="63"/>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t>乡村兴则国家兴，我国人民日益增长的美好生活需要和不平衡不充分的发展之间的矛盾在乡村最为突出。实现乡村振兴，是解决新时代我国社会主要矛盾、实现“两个一百年”奋斗目标和中华民族伟大复兴中国梦的必然要求，具有重大现实意义和深远历史意义。</w:t>
      </w:r>
    </w:p>
    <w:p w:rsidR="001D1D23" w:rsidRPr="001D1D23" w:rsidRDefault="001D1D23" w:rsidP="001D1D23">
      <w:pPr>
        <w:widowControl w:val="0"/>
        <w:ind w:firstLineChars="200" w:firstLine="480"/>
        <w:jc w:val="both"/>
        <w:rPr>
          <w:rFonts w:ascii="宋体" w:eastAsia="宋体" w:hAnsi="宋体" w:cs="Times New Roman"/>
          <w:color w:val="auto"/>
        </w:rPr>
      </w:pPr>
      <w:r w:rsidRPr="001D1D23">
        <w:rPr>
          <w:rFonts w:ascii="宋体" w:eastAsia="宋体" w:hAnsi="宋体" w:cs="Times New Roman" w:hint="eastAsia"/>
          <w:color w:val="auto"/>
        </w:rPr>
        <w:t>仙居的发展之路是中国乡村振兴的缩影，除了民宿产业的建立、基础设施的兴建和基层党建，金竹溪村以农家乐为核心和上海、温州等地展开合作，走的是协同发展之路；仙居杨梅利用科学技术进行标准化生产，采取现代化种植技术，走的是科技助农之路……</w:t>
      </w:r>
    </w:p>
    <w:p w:rsidR="008666A7" w:rsidRPr="00DE4F1D" w:rsidRDefault="001D1D23" w:rsidP="00DE4F1D">
      <w:pPr>
        <w:widowControl w:val="0"/>
        <w:ind w:firstLineChars="200" w:firstLine="480"/>
        <w:jc w:val="both"/>
        <w:rPr>
          <w:rFonts w:ascii="宋体" w:eastAsia="宋体" w:hAnsi="宋体" w:cs="Times New Roman" w:hint="eastAsia"/>
          <w:color w:val="auto"/>
        </w:rPr>
      </w:pPr>
      <w:r w:rsidRPr="001D1D23">
        <w:rPr>
          <w:rFonts w:ascii="宋体" w:eastAsia="宋体" w:hAnsi="宋体" w:cs="Times New Roman" w:hint="eastAsia"/>
          <w:color w:val="auto"/>
        </w:rPr>
        <w:t>这些通常只存在于课本里的概念通过这次社会实践变得鲜活，使我们真切感受到了中国乡村的振兴，也认识到了这一路上所遇到的重重难关。我们相信，在仙居百姓踏实勤恳的努力下，在仙居干部认真负责的带领下，在政府政策的扶持下，在未来，仙居县一定会发展得越来越好。</w:t>
      </w:r>
    </w:p>
    <w:sectPr w:rsidR="008666A7" w:rsidRPr="00DE4F1D">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83F56" w:rsidRDefault="00F83F56" w:rsidP="001D1D23">
      <w:r>
        <w:separator/>
      </w:r>
    </w:p>
  </w:endnote>
  <w:endnote w:type="continuationSeparator" w:id="0">
    <w:p w:rsidR="00F83F56" w:rsidRDefault="00F83F56" w:rsidP="001D1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仿宋_GB2312">
    <w:altName w:val="微软雅黑"/>
    <w:panose1 w:val="020B0604020202020204"/>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618886398"/>
      <w:docPartObj>
        <w:docPartGallery w:val="Page Numbers (Bottom of Page)"/>
        <w:docPartUnique/>
      </w:docPartObj>
    </w:sdtPr>
    <w:sdtContent>
      <w:p w:rsidR="00FA2038" w:rsidRDefault="00FA2038" w:rsidP="00BC480D">
        <w:pPr>
          <w:pStyle w:val="a6"/>
          <w:framePr w:wrap="none" w:vAnchor="text" w:hAnchor="margin" w:xAlign="right" w:y="1"/>
          <w:rPr>
            <w:rStyle w:val="a8"/>
          </w:rPr>
        </w:pPr>
        <w:r>
          <w:rPr>
            <w:rStyle w:val="a8"/>
          </w:rPr>
          <w:fldChar w:fldCharType="begin"/>
        </w:r>
        <w:r>
          <w:rPr>
            <w:rStyle w:val="a8"/>
          </w:rPr>
          <w:instrText xml:space="preserve"> PAGE </w:instrText>
        </w:r>
        <w:r>
          <w:rPr>
            <w:rStyle w:val="a8"/>
          </w:rPr>
          <w:fldChar w:fldCharType="end"/>
        </w:r>
      </w:p>
    </w:sdtContent>
  </w:sdt>
  <w:p w:rsidR="00FA2038" w:rsidRDefault="00FA2038" w:rsidP="00FA2038">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1573734299"/>
      <w:docPartObj>
        <w:docPartGallery w:val="Page Numbers (Bottom of Page)"/>
        <w:docPartUnique/>
      </w:docPartObj>
    </w:sdtPr>
    <w:sdtContent>
      <w:p w:rsidR="00FA2038" w:rsidRDefault="00FA2038" w:rsidP="00BC480D">
        <w:pPr>
          <w:pStyle w:val="a6"/>
          <w:framePr w:wrap="none" w:vAnchor="text" w:hAnchor="margin" w:xAlign="right"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FA2038" w:rsidRDefault="00FA2038" w:rsidP="00FA2038">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83F56" w:rsidRDefault="00F83F56" w:rsidP="001D1D23">
      <w:r>
        <w:separator/>
      </w:r>
    </w:p>
  </w:footnote>
  <w:footnote w:type="continuationSeparator" w:id="0">
    <w:p w:rsidR="00F83F56" w:rsidRDefault="00F83F56" w:rsidP="001D1D23">
      <w:r>
        <w:continuationSeparator/>
      </w:r>
    </w:p>
  </w:footnote>
  <w:footnote w:id="1">
    <w:p w:rsidR="001D1D23" w:rsidRDefault="001D1D23" w:rsidP="001D1D23">
      <w:pPr>
        <w:pStyle w:val="a3"/>
        <w:rPr>
          <w:rFonts w:ascii="宋体" w:hAnsi="宋体"/>
        </w:rPr>
      </w:pPr>
      <w:r>
        <w:rPr>
          <w:rStyle w:val="a5"/>
          <w:rFonts w:ascii="宋体" w:hAnsi="宋体"/>
        </w:rPr>
        <w:footnoteRef/>
      </w:r>
      <w:r>
        <w:rPr>
          <w:rFonts w:ascii="宋体" w:hAnsi="宋体"/>
        </w:rPr>
        <w:t xml:space="preserve"> </w:t>
      </w:r>
      <w:r>
        <w:rPr>
          <w:rFonts w:ascii="宋体" w:hAnsi="宋体" w:hint="eastAsia"/>
        </w:rPr>
        <w:t>习近平：</w:t>
      </w:r>
      <w:r>
        <w:rPr>
          <w:rFonts w:ascii="宋体" w:hAnsi="宋体"/>
        </w:rPr>
        <w:t>脱贫攻坚战冲锋号已经吹响 全党全国咬定目标苦干实干</w:t>
      </w:r>
      <w:r>
        <w:rPr>
          <w:rFonts w:ascii="宋体" w:hAnsi="宋体" w:hint="eastAsia"/>
        </w:rPr>
        <w:t>.</w:t>
      </w:r>
      <w:r>
        <w:rPr>
          <w:rFonts w:ascii="宋体" w:hAnsi="宋体"/>
        </w:rPr>
        <w:t xml:space="preserve"> 新华网</w:t>
      </w:r>
      <w:r>
        <w:rPr>
          <w:rFonts w:ascii="宋体" w:hAnsi="宋体" w:hint="eastAsia"/>
        </w:rPr>
        <w:t>.</w:t>
      </w:r>
      <w:r>
        <w:rPr>
          <w:rFonts w:ascii="宋体" w:hAnsi="宋体"/>
        </w:rPr>
        <w:t xml:space="preserve"> 2015-11-28[引用日期2015-11-29]</w:t>
      </w:r>
    </w:p>
  </w:footnote>
  <w:footnote w:id="2">
    <w:p w:rsidR="001D1D23" w:rsidRDefault="001D1D23" w:rsidP="001D1D23">
      <w:pPr>
        <w:pStyle w:val="a3"/>
      </w:pPr>
      <w:r>
        <w:rPr>
          <w:rStyle w:val="a5"/>
          <w:rFonts w:ascii="宋体" w:hAnsi="宋体"/>
        </w:rPr>
        <w:footnoteRef/>
      </w:r>
      <w:r>
        <w:rPr>
          <w:rFonts w:ascii="宋体" w:hAnsi="宋体"/>
        </w:rPr>
        <w:t xml:space="preserve"> </w:t>
      </w:r>
      <w:r>
        <w:rPr>
          <w:rFonts w:ascii="宋体" w:hAnsi="宋体" w:hint="eastAsia"/>
        </w:rPr>
        <w:t>习近平：</w:t>
      </w:r>
      <w:r>
        <w:rPr>
          <w:rFonts w:ascii="宋体" w:hAnsi="宋体"/>
        </w:rPr>
        <w:t>脱贫攻坚战冲锋号已经吹响 全党全国咬定目标苦干实干</w:t>
      </w:r>
      <w:r>
        <w:rPr>
          <w:rFonts w:ascii="宋体" w:hAnsi="宋体" w:hint="eastAsia"/>
        </w:rPr>
        <w:t>.</w:t>
      </w:r>
      <w:r>
        <w:rPr>
          <w:rFonts w:ascii="宋体" w:hAnsi="宋体"/>
        </w:rPr>
        <w:t xml:space="preserve"> 新华网</w:t>
      </w:r>
      <w:r>
        <w:rPr>
          <w:rFonts w:ascii="宋体" w:hAnsi="宋体" w:hint="eastAsia"/>
        </w:rPr>
        <w:t>.</w:t>
      </w:r>
      <w:r>
        <w:rPr>
          <w:rFonts w:ascii="宋体" w:hAnsi="宋体"/>
        </w:rPr>
        <w:t xml:space="preserve"> 2015-11-28[引用日期2015-11-29]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4B8"/>
    <w:rsid w:val="00002EEC"/>
    <w:rsid w:val="001D1D23"/>
    <w:rsid w:val="006054B8"/>
    <w:rsid w:val="00651A7A"/>
    <w:rsid w:val="008666A7"/>
    <w:rsid w:val="00DE4F1D"/>
    <w:rsid w:val="00F83F56"/>
    <w:rsid w:val="00FA2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1A16F"/>
  <w15:chartTrackingRefBased/>
  <w15:docId w15:val="{7572FB3B-3577-45BF-BA51-982661055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仿宋_GB2312" w:hAnsi="Times New Roman" w:cstheme="minorBidi"/>
        <w:color w:val="000000" w:themeColor="text1"/>
        <w:kern w:val="2"/>
        <w:sz w:val="24"/>
        <w:szCs w:val="24"/>
        <w:lang w:val="en-US" w:eastAsia="zh-CN"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PSOffice2">
    <w:name w:val="WPSOffice手动目录 2"/>
    <w:qFormat/>
    <w:rsid w:val="001D1D23"/>
    <w:pPr>
      <w:ind w:leftChars="200" w:left="200"/>
      <w:jc w:val="left"/>
    </w:pPr>
    <w:rPr>
      <w:rFonts w:eastAsia="宋体" w:cs="Times New Roman"/>
      <w:color w:val="auto"/>
      <w:kern w:val="0"/>
      <w:sz w:val="20"/>
      <w:szCs w:val="20"/>
    </w:rPr>
  </w:style>
  <w:style w:type="paragraph" w:customStyle="1" w:styleId="WPSOffice3">
    <w:name w:val="WPSOffice手动目录 3"/>
    <w:qFormat/>
    <w:rsid w:val="001D1D23"/>
    <w:pPr>
      <w:ind w:leftChars="400" w:left="400"/>
      <w:jc w:val="left"/>
    </w:pPr>
    <w:rPr>
      <w:rFonts w:asciiTheme="minorHAnsi" w:eastAsiaTheme="minorEastAsia" w:hAnsiTheme="minorHAnsi"/>
      <w:color w:val="auto"/>
      <w:kern w:val="0"/>
      <w:sz w:val="20"/>
      <w:szCs w:val="20"/>
    </w:rPr>
  </w:style>
  <w:style w:type="paragraph" w:styleId="a3">
    <w:name w:val="footnote text"/>
    <w:basedOn w:val="a"/>
    <w:link w:val="a4"/>
    <w:uiPriority w:val="99"/>
    <w:semiHidden/>
    <w:unhideWhenUsed/>
    <w:qFormat/>
    <w:rsid w:val="001D1D23"/>
    <w:pPr>
      <w:widowControl w:val="0"/>
      <w:snapToGrid w:val="0"/>
      <w:jc w:val="left"/>
    </w:pPr>
    <w:rPr>
      <w:rFonts w:ascii="Calibri" w:eastAsia="宋体" w:hAnsi="Calibri"/>
      <w:color w:val="auto"/>
      <w:sz w:val="18"/>
      <w:szCs w:val="18"/>
    </w:rPr>
  </w:style>
  <w:style w:type="character" w:customStyle="1" w:styleId="a4">
    <w:name w:val="脚注文本 字符"/>
    <w:basedOn w:val="a0"/>
    <w:link w:val="a3"/>
    <w:uiPriority w:val="99"/>
    <w:semiHidden/>
    <w:rsid w:val="001D1D23"/>
    <w:rPr>
      <w:rFonts w:ascii="Calibri" w:eastAsia="宋体" w:hAnsi="Calibri"/>
      <w:color w:val="auto"/>
      <w:sz w:val="18"/>
      <w:szCs w:val="18"/>
    </w:rPr>
  </w:style>
  <w:style w:type="character" w:styleId="a5">
    <w:name w:val="footnote reference"/>
    <w:basedOn w:val="a0"/>
    <w:uiPriority w:val="99"/>
    <w:semiHidden/>
    <w:unhideWhenUsed/>
    <w:qFormat/>
    <w:rsid w:val="001D1D23"/>
    <w:rPr>
      <w:vertAlign w:val="superscript"/>
    </w:rPr>
  </w:style>
  <w:style w:type="paragraph" w:styleId="a6">
    <w:name w:val="footer"/>
    <w:basedOn w:val="a"/>
    <w:link w:val="a7"/>
    <w:uiPriority w:val="99"/>
    <w:unhideWhenUsed/>
    <w:rsid w:val="00FA2038"/>
    <w:pPr>
      <w:tabs>
        <w:tab w:val="center" w:pos="4153"/>
        <w:tab w:val="right" w:pos="8306"/>
      </w:tabs>
      <w:snapToGrid w:val="0"/>
      <w:jc w:val="left"/>
    </w:pPr>
    <w:rPr>
      <w:sz w:val="18"/>
      <w:szCs w:val="18"/>
    </w:rPr>
  </w:style>
  <w:style w:type="character" w:customStyle="1" w:styleId="a7">
    <w:name w:val="页脚 字符"/>
    <w:basedOn w:val="a0"/>
    <w:link w:val="a6"/>
    <w:uiPriority w:val="99"/>
    <w:rsid w:val="00FA2038"/>
    <w:rPr>
      <w:sz w:val="18"/>
      <w:szCs w:val="18"/>
    </w:rPr>
  </w:style>
  <w:style w:type="character" w:styleId="a8">
    <w:name w:val="page number"/>
    <w:basedOn w:val="a0"/>
    <w:uiPriority w:val="99"/>
    <w:semiHidden/>
    <w:unhideWhenUsed/>
    <w:rsid w:val="00FA2038"/>
  </w:style>
  <w:style w:type="paragraph" w:styleId="TOC1">
    <w:name w:val="toc 1"/>
    <w:basedOn w:val="a"/>
    <w:next w:val="a"/>
    <w:autoRedefine/>
    <w:uiPriority w:val="39"/>
    <w:unhideWhenUsed/>
    <w:rsid w:val="00FA2038"/>
    <w:pPr>
      <w:spacing w:before="120" w:after="120"/>
      <w:jc w:val="left"/>
    </w:pPr>
    <w:rPr>
      <w:rFonts w:asciiTheme="minorHAnsi" w:eastAsiaTheme="minorHAnsi"/>
      <w:b/>
      <w:bCs/>
      <w:caps/>
      <w:sz w:val="20"/>
      <w:szCs w:val="20"/>
    </w:rPr>
  </w:style>
  <w:style w:type="paragraph" w:styleId="TOC2">
    <w:name w:val="toc 2"/>
    <w:basedOn w:val="a"/>
    <w:next w:val="a"/>
    <w:autoRedefine/>
    <w:uiPriority w:val="39"/>
    <w:unhideWhenUsed/>
    <w:rsid w:val="00FA2038"/>
    <w:pPr>
      <w:ind w:left="240"/>
      <w:jc w:val="left"/>
    </w:pPr>
    <w:rPr>
      <w:rFonts w:asciiTheme="minorHAnsi" w:eastAsiaTheme="minorHAnsi"/>
      <w:smallCaps/>
      <w:sz w:val="20"/>
      <w:szCs w:val="20"/>
    </w:rPr>
  </w:style>
  <w:style w:type="paragraph" w:styleId="TOC3">
    <w:name w:val="toc 3"/>
    <w:basedOn w:val="a"/>
    <w:next w:val="a"/>
    <w:autoRedefine/>
    <w:uiPriority w:val="39"/>
    <w:unhideWhenUsed/>
    <w:rsid w:val="00FA2038"/>
    <w:pPr>
      <w:ind w:left="480"/>
      <w:jc w:val="left"/>
    </w:pPr>
    <w:rPr>
      <w:rFonts w:asciiTheme="minorHAnsi" w:eastAsiaTheme="minorHAnsi"/>
      <w:i/>
      <w:iCs/>
      <w:sz w:val="20"/>
      <w:szCs w:val="20"/>
    </w:rPr>
  </w:style>
  <w:style w:type="paragraph" w:styleId="TOC4">
    <w:name w:val="toc 4"/>
    <w:basedOn w:val="a"/>
    <w:next w:val="a"/>
    <w:autoRedefine/>
    <w:uiPriority w:val="39"/>
    <w:unhideWhenUsed/>
    <w:rsid w:val="00FA2038"/>
    <w:pPr>
      <w:ind w:left="720"/>
      <w:jc w:val="left"/>
    </w:pPr>
    <w:rPr>
      <w:rFonts w:asciiTheme="minorHAnsi" w:eastAsiaTheme="minorHAnsi"/>
      <w:sz w:val="18"/>
      <w:szCs w:val="18"/>
    </w:rPr>
  </w:style>
  <w:style w:type="paragraph" w:styleId="TOC5">
    <w:name w:val="toc 5"/>
    <w:basedOn w:val="a"/>
    <w:next w:val="a"/>
    <w:autoRedefine/>
    <w:uiPriority w:val="39"/>
    <w:unhideWhenUsed/>
    <w:rsid w:val="00FA2038"/>
    <w:pPr>
      <w:ind w:left="960"/>
      <w:jc w:val="left"/>
    </w:pPr>
    <w:rPr>
      <w:rFonts w:asciiTheme="minorHAnsi" w:eastAsiaTheme="minorHAnsi"/>
      <w:sz w:val="18"/>
      <w:szCs w:val="18"/>
    </w:rPr>
  </w:style>
  <w:style w:type="paragraph" w:styleId="TOC6">
    <w:name w:val="toc 6"/>
    <w:basedOn w:val="a"/>
    <w:next w:val="a"/>
    <w:autoRedefine/>
    <w:uiPriority w:val="39"/>
    <w:unhideWhenUsed/>
    <w:rsid w:val="00FA2038"/>
    <w:pPr>
      <w:ind w:left="1200"/>
      <w:jc w:val="left"/>
    </w:pPr>
    <w:rPr>
      <w:rFonts w:asciiTheme="minorHAnsi" w:eastAsiaTheme="minorHAnsi"/>
      <w:sz w:val="18"/>
      <w:szCs w:val="18"/>
    </w:rPr>
  </w:style>
  <w:style w:type="paragraph" w:styleId="TOC7">
    <w:name w:val="toc 7"/>
    <w:basedOn w:val="a"/>
    <w:next w:val="a"/>
    <w:autoRedefine/>
    <w:uiPriority w:val="39"/>
    <w:unhideWhenUsed/>
    <w:rsid w:val="00FA2038"/>
    <w:pPr>
      <w:ind w:left="1440"/>
      <w:jc w:val="left"/>
    </w:pPr>
    <w:rPr>
      <w:rFonts w:asciiTheme="minorHAnsi" w:eastAsiaTheme="minorHAnsi"/>
      <w:sz w:val="18"/>
      <w:szCs w:val="18"/>
    </w:rPr>
  </w:style>
  <w:style w:type="paragraph" w:styleId="TOC8">
    <w:name w:val="toc 8"/>
    <w:basedOn w:val="a"/>
    <w:next w:val="a"/>
    <w:autoRedefine/>
    <w:uiPriority w:val="39"/>
    <w:unhideWhenUsed/>
    <w:rsid w:val="00FA2038"/>
    <w:pPr>
      <w:ind w:left="1680"/>
      <w:jc w:val="left"/>
    </w:pPr>
    <w:rPr>
      <w:rFonts w:asciiTheme="minorHAnsi" w:eastAsiaTheme="minorHAnsi"/>
      <w:sz w:val="18"/>
      <w:szCs w:val="18"/>
    </w:rPr>
  </w:style>
  <w:style w:type="paragraph" w:styleId="TOC9">
    <w:name w:val="toc 9"/>
    <w:basedOn w:val="a"/>
    <w:next w:val="a"/>
    <w:autoRedefine/>
    <w:uiPriority w:val="39"/>
    <w:unhideWhenUsed/>
    <w:rsid w:val="00FA2038"/>
    <w:pPr>
      <w:ind w:left="1920"/>
      <w:jc w:val="left"/>
    </w:pPr>
    <w:rPr>
      <w:rFonts w:asciiTheme="minorHAnsi" w:eastAsiaTheme="minorHAnsi"/>
      <w:sz w:val="18"/>
      <w:szCs w:val="18"/>
    </w:rPr>
  </w:style>
  <w:style w:type="character" w:styleId="a9">
    <w:name w:val="Hyperlink"/>
    <w:basedOn w:val="a0"/>
    <w:uiPriority w:val="99"/>
    <w:unhideWhenUsed/>
    <w:rsid w:val="00FA20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65B70-63AA-0D46-B8D5-0A9C8A83E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1694</Words>
  <Characters>9662</Characters>
  <Application>Microsoft Office Word</Application>
  <DocSecurity>0</DocSecurity>
  <Lines>80</Lines>
  <Paragraphs>22</Paragraphs>
  <ScaleCrop>false</ScaleCrop>
  <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 静</dc:creator>
  <cp:keywords/>
  <dc:description/>
  <cp:lastModifiedBy>2197798640@qq.com</cp:lastModifiedBy>
  <cp:revision>6</cp:revision>
  <dcterms:created xsi:type="dcterms:W3CDTF">2020-11-09T00:58:00Z</dcterms:created>
  <dcterms:modified xsi:type="dcterms:W3CDTF">2020-11-24T00:33:00Z</dcterms:modified>
</cp:coreProperties>
</file>