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1F6E" w:rsidRDefault="00B01F6E" w:rsidP="00630967">
      <w:pPr>
        <w:jc w:val="center"/>
        <w:rPr>
          <w:rFonts w:ascii="黑体" w:eastAsia="黑体" w:hAnsi="黑体" w:cs="黑体"/>
          <w:b/>
          <w:bCs/>
          <w:sz w:val="50"/>
          <w:szCs w:val="50"/>
        </w:rPr>
      </w:pPr>
      <w:bookmarkStart w:id="0" w:name="_Toc1378"/>
      <w:bookmarkStart w:id="1" w:name="_Toc21843"/>
      <w:bookmarkStart w:id="2" w:name="_Toc32417"/>
      <w:bookmarkStart w:id="3" w:name="_Toc8630"/>
      <w:bookmarkStart w:id="4" w:name="_Toc16695"/>
      <w:bookmarkStart w:id="5" w:name="_Toc1488"/>
    </w:p>
    <w:p w:rsidR="00B01F6E" w:rsidRDefault="00B01F6E" w:rsidP="00630967">
      <w:pPr>
        <w:jc w:val="center"/>
        <w:rPr>
          <w:rFonts w:ascii="黑体" w:eastAsia="黑体" w:hAnsi="黑体" w:cs="黑体"/>
          <w:b/>
          <w:bCs/>
          <w:sz w:val="50"/>
          <w:szCs w:val="50"/>
        </w:rPr>
      </w:pPr>
    </w:p>
    <w:p w:rsidR="00B01F6E" w:rsidRDefault="00B01F6E" w:rsidP="00630967">
      <w:pPr>
        <w:jc w:val="center"/>
        <w:rPr>
          <w:rFonts w:ascii="黑体" w:eastAsia="黑体" w:hAnsi="黑体" w:cs="黑体"/>
          <w:b/>
          <w:bCs/>
          <w:sz w:val="50"/>
          <w:szCs w:val="50"/>
        </w:rPr>
      </w:pPr>
    </w:p>
    <w:p w:rsidR="00B01F6E" w:rsidRDefault="00B01F6E" w:rsidP="00630967">
      <w:pPr>
        <w:jc w:val="center"/>
        <w:rPr>
          <w:rFonts w:ascii="黑体" w:eastAsia="黑体" w:hAnsi="黑体" w:cs="黑体" w:hint="eastAsia"/>
          <w:b/>
          <w:bCs/>
          <w:sz w:val="50"/>
          <w:szCs w:val="50"/>
        </w:rPr>
      </w:pPr>
    </w:p>
    <w:p w:rsidR="00F01993" w:rsidRDefault="00F01993" w:rsidP="00630967">
      <w:pPr>
        <w:jc w:val="center"/>
        <w:rPr>
          <w:rFonts w:ascii="黑体" w:eastAsia="黑体" w:hAnsi="黑体" w:cs="黑体"/>
          <w:b/>
          <w:bCs/>
          <w:sz w:val="50"/>
          <w:szCs w:val="50"/>
        </w:rPr>
      </w:pPr>
      <w:r>
        <w:rPr>
          <w:rFonts w:ascii="黑体" w:eastAsia="黑体" w:hAnsi="黑体" w:cs="黑体" w:hint="eastAsia"/>
          <w:b/>
          <w:bCs/>
          <w:sz w:val="50"/>
          <w:szCs w:val="50"/>
        </w:rPr>
        <w:t>脚踏祖国大地，聚焦时代命题</w:t>
      </w:r>
      <w:bookmarkEnd w:id="0"/>
    </w:p>
    <w:p w:rsidR="00F01993" w:rsidRDefault="00F01993" w:rsidP="00630967">
      <w:pPr>
        <w:jc w:val="center"/>
        <w:rPr>
          <w:rFonts w:ascii="黑体" w:eastAsia="黑体" w:hAnsi="黑体" w:cs="黑体"/>
          <w:b/>
          <w:bCs/>
          <w:sz w:val="50"/>
          <w:szCs w:val="50"/>
        </w:rPr>
      </w:pPr>
      <w:bookmarkStart w:id="6" w:name="_Toc20057"/>
      <w:r>
        <w:rPr>
          <w:rFonts w:ascii="黑体" w:eastAsia="黑体" w:hAnsi="黑体" w:cs="黑体" w:hint="eastAsia"/>
          <w:b/>
          <w:bCs/>
          <w:sz w:val="50"/>
          <w:szCs w:val="50"/>
        </w:rPr>
        <w:t>——北京大学经济学院福建仓山</w:t>
      </w:r>
      <w:bookmarkStart w:id="7" w:name="_Toc5850"/>
      <w:bookmarkStart w:id="8" w:name="_Toc29265"/>
      <w:bookmarkStart w:id="9" w:name="_Toc10077"/>
      <w:bookmarkStart w:id="10" w:name="_Toc31706"/>
      <w:bookmarkStart w:id="11" w:name="_Toc11477"/>
      <w:bookmarkStart w:id="12" w:name="_Toc18836"/>
      <w:bookmarkEnd w:id="1"/>
      <w:bookmarkEnd w:id="2"/>
      <w:bookmarkEnd w:id="3"/>
      <w:bookmarkEnd w:id="4"/>
      <w:bookmarkEnd w:id="5"/>
      <w:bookmarkEnd w:id="6"/>
      <w:r>
        <w:rPr>
          <w:rFonts w:ascii="黑体" w:eastAsia="黑体" w:hAnsi="黑体" w:cs="黑体" w:hint="eastAsia"/>
          <w:b/>
          <w:bCs/>
          <w:sz w:val="50"/>
          <w:szCs w:val="50"/>
        </w:rPr>
        <w:t>实践团</w:t>
      </w:r>
      <w:bookmarkEnd w:id="7"/>
      <w:bookmarkEnd w:id="8"/>
      <w:bookmarkEnd w:id="9"/>
      <w:bookmarkEnd w:id="10"/>
      <w:bookmarkEnd w:id="11"/>
      <w:r>
        <w:rPr>
          <w:rFonts w:ascii="黑体" w:eastAsia="黑体" w:hAnsi="黑体" w:cs="黑体" w:hint="eastAsia"/>
          <w:b/>
          <w:bCs/>
          <w:sz w:val="50"/>
          <w:szCs w:val="50"/>
        </w:rPr>
        <w:t>思政实践报告</w:t>
      </w:r>
      <w:bookmarkEnd w:id="12"/>
    </w:p>
    <w:p w:rsidR="00F01993" w:rsidRDefault="00F01993">
      <w:pPr>
        <w:widowControl/>
        <w:jc w:val="center"/>
        <w:rPr>
          <w:rFonts w:ascii="黑体" w:eastAsia="黑体" w:hAnsi="黑体" w:cs="黑体"/>
          <w:b/>
          <w:bCs/>
          <w:sz w:val="50"/>
          <w:szCs w:val="50"/>
        </w:rPr>
      </w:pPr>
      <w:r>
        <w:rPr>
          <w:rFonts w:ascii="黑体" w:eastAsia="黑体" w:hAnsi="黑体" w:cs="黑体"/>
          <w:b/>
          <w:bCs/>
          <w:sz w:val="50"/>
          <w:szCs w:val="50"/>
        </w:rPr>
        <w:br w:type="page"/>
      </w:r>
    </w:p>
    <w:p w:rsidR="00B01F6E" w:rsidRDefault="00B01F6E" w:rsidP="00F01993">
      <w:pPr>
        <w:pStyle w:val="TOC2"/>
        <w:tabs>
          <w:tab w:val="right" w:leader="dot" w:pos="8306"/>
        </w:tabs>
        <w:jc w:val="center"/>
        <w:rPr>
          <w:rFonts w:ascii="宋体" w:eastAsia="宋体" w:hAnsi="宋体" w:cs="宋体"/>
          <w:b/>
          <w:sz w:val="48"/>
          <w:szCs w:val="48"/>
        </w:rPr>
      </w:pPr>
    </w:p>
    <w:p w:rsidR="00F01993" w:rsidRDefault="00F01993" w:rsidP="00F01993">
      <w:pPr>
        <w:pStyle w:val="TOC2"/>
        <w:tabs>
          <w:tab w:val="right" w:leader="dot" w:pos="8306"/>
        </w:tabs>
        <w:jc w:val="center"/>
        <w:rPr>
          <w:rFonts w:ascii="宋体" w:eastAsia="宋体" w:hAnsi="宋体" w:cs="宋体"/>
          <w:b/>
          <w:sz w:val="48"/>
          <w:szCs w:val="48"/>
        </w:rPr>
      </w:pPr>
      <w:r>
        <w:rPr>
          <w:rFonts w:ascii="宋体" w:eastAsia="宋体" w:hAnsi="宋体" w:cs="宋体" w:hint="eastAsia"/>
          <w:b/>
          <w:sz w:val="48"/>
          <w:szCs w:val="48"/>
        </w:rPr>
        <w:t>目录</w:t>
      </w:r>
    </w:p>
    <w:p w:rsidR="00F01993" w:rsidRPr="00B01F6E" w:rsidRDefault="00F01993" w:rsidP="00B01F6E">
      <w:pPr>
        <w:pStyle w:val="TOC2"/>
        <w:tabs>
          <w:tab w:val="right" w:leader="dot" w:pos="8306"/>
        </w:tabs>
        <w:jc w:val="center"/>
        <w:rPr>
          <w:rFonts w:ascii="宋体" w:eastAsia="宋体" w:hAnsi="宋体" w:cs="宋体" w:hint="eastAsia"/>
          <w:b/>
          <w:sz w:val="48"/>
          <w:szCs w:val="48"/>
        </w:rPr>
      </w:pPr>
    </w:p>
    <w:p w:rsidR="00630967" w:rsidRPr="00630967" w:rsidRDefault="00630967">
      <w:pPr>
        <w:pStyle w:val="TOC1"/>
        <w:tabs>
          <w:tab w:val="right" w:leader="dot" w:pos="8296"/>
        </w:tabs>
        <w:rPr>
          <w:rFonts w:ascii="宋体" w:eastAsia="宋体" w:hAnsi="宋体"/>
          <w:b w:val="0"/>
          <w:bCs w:val="0"/>
          <w:caps w:val="0"/>
          <w:noProof/>
          <w:sz w:val="24"/>
          <w:szCs w:val="24"/>
        </w:rPr>
      </w:pPr>
      <w:r>
        <w:rPr>
          <w:sz w:val="24"/>
          <w:szCs w:val="24"/>
        </w:rPr>
        <w:fldChar w:fldCharType="begin"/>
      </w:r>
      <w:r>
        <w:rPr>
          <w:sz w:val="24"/>
          <w:szCs w:val="24"/>
        </w:rPr>
        <w:instrText xml:space="preserve"> TOC \o "1-1" \h \z \u </w:instrText>
      </w:r>
      <w:r>
        <w:rPr>
          <w:sz w:val="24"/>
          <w:szCs w:val="24"/>
        </w:rPr>
        <w:fldChar w:fldCharType="separate"/>
      </w:r>
      <w:hyperlink w:anchor="_Toc56106229" w:history="1">
        <w:r w:rsidRPr="00630967">
          <w:rPr>
            <w:rStyle w:val="a9"/>
            <w:rFonts w:ascii="宋体" w:eastAsia="宋体" w:hAnsi="宋体"/>
            <w:noProof/>
            <w:sz w:val="24"/>
            <w:szCs w:val="24"/>
          </w:rPr>
          <w:t>1.本次实地考察福州相关医药产业的概览</w:t>
        </w:r>
        <w:r w:rsidRPr="00630967">
          <w:rPr>
            <w:rFonts w:ascii="宋体" w:eastAsia="宋体" w:hAnsi="宋体"/>
            <w:noProof/>
            <w:webHidden/>
            <w:sz w:val="24"/>
            <w:szCs w:val="24"/>
          </w:rPr>
          <w:tab/>
        </w:r>
        <w:r w:rsidRPr="00630967">
          <w:rPr>
            <w:rFonts w:ascii="宋体" w:eastAsia="宋体" w:hAnsi="宋体"/>
            <w:noProof/>
            <w:webHidden/>
            <w:sz w:val="24"/>
            <w:szCs w:val="24"/>
          </w:rPr>
          <w:fldChar w:fldCharType="begin"/>
        </w:r>
        <w:r w:rsidRPr="00630967">
          <w:rPr>
            <w:rFonts w:ascii="宋体" w:eastAsia="宋体" w:hAnsi="宋体"/>
            <w:noProof/>
            <w:webHidden/>
            <w:sz w:val="24"/>
            <w:szCs w:val="24"/>
          </w:rPr>
          <w:instrText xml:space="preserve"> PAGEREF _Toc56106229 \h </w:instrText>
        </w:r>
        <w:r w:rsidRPr="00630967">
          <w:rPr>
            <w:rFonts w:ascii="宋体" w:eastAsia="宋体" w:hAnsi="宋体"/>
            <w:noProof/>
            <w:webHidden/>
            <w:sz w:val="24"/>
            <w:szCs w:val="24"/>
          </w:rPr>
        </w:r>
        <w:r w:rsidRPr="00630967">
          <w:rPr>
            <w:rFonts w:ascii="宋体" w:eastAsia="宋体" w:hAnsi="宋体"/>
            <w:noProof/>
            <w:webHidden/>
            <w:sz w:val="24"/>
            <w:szCs w:val="24"/>
          </w:rPr>
          <w:fldChar w:fldCharType="separate"/>
        </w:r>
        <w:r w:rsidRPr="00630967">
          <w:rPr>
            <w:rFonts w:ascii="宋体" w:eastAsia="宋体" w:hAnsi="宋体"/>
            <w:noProof/>
            <w:webHidden/>
            <w:sz w:val="24"/>
            <w:szCs w:val="24"/>
          </w:rPr>
          <w:t>3</w:t>
        </w:r>
        <w:r w:rsidRPr="00630967">
          <w:rPr>
            <w:rFonts w:ascii="宋体" w:eastAsia="宋体" w:hAnsi="宋体"/>
            <w:noProof/>
            <w:webHidden/>
            <w:sz w:val="24"/>
            <w:szCs w:val="24"/>
          </w:rPr>
          <w:fldChar w:fldCharType="end"/>
        </w:r>
      </w:hyperlink>
    </w:p>
    <w:p w:rsidR="00630967" w:rsidRPr="00630967" w:rsidRDefault="00630967">
      <w:pPr>
        <w:pStyle w:val="TOC1"/>
        <w:tabs>
          <w:tab w:val="right" w:leader="dot" w:pos="8296"/>
        </w:tabs>
        <w:rPr>
          <w:rFonts w:ascii="宋体" w:eastAsia="宋体" w:hAnsi="宋体"/>
          <w:b w:val="0"/>
          <w:bCs w:val="0"/>
          <w:caps w:val="0"/>
          <w:noProof/>
          <w:sz w:val="24"/>
          <w:szCs w:val="24"/>
        </w:rPr>
      </w:pPr>
      <w:hyperlink w:anchor="_Toc56106230" w:history="1">
        <w:r w:rsidRPr="00630967">
          <w:rPr>
            <w:rStyle w:val="a9"/>
            <w:rFonts w:ascii="宋体" w:eastAsia="宋体" w:hAnsi="宋体"/>
            <w:noProof/>
            <w:sz w:val="24"/>
            <w:szCs w:val="24"/>
          </w:rPr>
          <w:t>2.生物医药在福州的发展历史</w:t>
        </w:r>
        <w:r w:rsidRPr="00630967">
          <w:rPr>
            <w:rFonts w:ascii="宋体" w:eastAsia="宋体" w:hAnsi="宋体"/>
            <w:noProof/>
            <w:webHidden/>
            <w:sz w:val="24"/>
            <w:szCs w:val="24"/>
          </w:rPr>
          <w:tab/>
        </w:r>
        <w:r w:rsidRPr="00630967">
          <w:rPr>
            <w:rFonts w:ascii="宋体" w:eastAsia="宋体" w:hAnsi="宋体"/>
            <w:noProof/>
            <w:webHidden/>
            <w:sz w:val="24"/>
            <w:szCs w:val="24"/>
          </w:rPr>
          <w:fldChar w:fldCharType="begin"/>
        </w:r>
        <w:r w:rsidRPr="00630967">
          <w:rPr>
            <w:rFonts w:ascii="宋体" w:eastAsia="宋体" w:hAnsi="宋体"/>
            <w:noProof/>
            <w:webHidden/>
            <w:sz w:val="24"/>
            <w:szCs w:val="24"/>
          </w:rPr>
          <w:instrText xml:space="preserve"> PAGEREF _Toc56106230 \h </w:instrText>
        </w:r>
        <w:r w:rsidRPr="00630967">
          <w:rPr>
            <w:rFonts w:ascii="宋体" w:eastAsia="宋体" w:hAnsi="宋体"/>
            <w:noProof/>
            <w:webHidden/>
            <w:sz w:val="24"/>
            <w:szCs w:val="24"/>
          </w:rPr>
        </w:r>
        <w:r w:rsidRPr="00630967">
          <w:rPr>
            <w:rFonts w:ascii="宋体" w:eastAsia="宋体" w:hAnsi="宋体"/>
            <w:noProof/>
            <w:webHidden/>
            <w:sz w:val="24"/>
            <w:szCs w:val="24"/>
          </w:rPr>
          <w:fldChar w:fldCharType="separate"/>
        </w:r>
        <w:r w:rsidRPr="00630967">
          <w:rPr>
            <w:rFonts w:ascii="宋体" w:eastAsia="宋体" w:hAnsi="宋体"/>
            <w:noProof/>
            <w:webHidden/>
            <w:sz w:val="24"/>
            <w:szCs w:val="24"/>
          </w:rPr>
          <w:t>3</w:t>
        </w:r>
        <w:r w:rsidRPr="00630967">
          <w:rPr>
            <w:rFonts w:ascii="宋体" w:eastAsia="宋体" w:hAnsi="宋体"/>
            <w:noProof/>
            <w:webHidden/>
            <w:sz w:val="24"/>
            <w:szCs w:val="24"/>
          </w:rPr>
          <w:fldChar w:fldCharType="end"/>
        </w:r>
      </w:hyperlink>
    </w:p>
    <w:p w:rsidR="00630967" w:rsidRPr="00630967" w:rsidRDefault="00630967">
      <w:pPr>
        <w:pStyle w:val="TOC1"/>
        <w:tabs>
          <w:tab w:val="right" w:leader="dot" w:pos="8296"/>
        </w:tabs>
        <w:rPr>
          <w:rFonts w:ascii="宋体" w:eastAsia="宋体" w:hAnsi="宋体"/>
          <w:b w:val="0"/>
          <w:bCs w:val="0"/>
          <w:caps w:val="0"/>
          <w:noProof/>
          <w:sz w:val="24"/>
          <w:szCs w:val="24"/>
        </w:rPr>
      </w:pPr>
      <w:hyperlink w:anchor="_Toc56106231" w:history="1">
        <w:r w:rsidRPr="00630967">
          <w:rPr>
            <w:rStyle w:val="a9"/>
            <w:rFonts w:ascii="宋体" w:eastAsia="宋体" w:hAnsi="宋体"/>
            <w:noProof/>
            <w:sz w:val="24"/>
            <w:szCs w:val="24"/>
          </w:rPr>
          <w:t>3.福州发展生物医药的优势</w:t>
        </w:r>
        <w:r w:rsidRPr="00630967">
          <w:rPr>
            <w:rFonts w:ascii="宋体" w:eastAsia="宋体" w:hAnsi="宋体"/>
            <w:noProof/>
            <w:webHidden/>
            <w:sz w:val="24"/>
            <w:szCs w:val="24"/>
          </w:rPr>
          <w:tab/>
        </w:r>
        <w:r w:rsidRPr="00630967">
          <w:rPr>
            <w:rFonts w:ascii="宋体" w:eastAsia="宋体" w:hAnsi="宋体"/>
            <w:noProof/>
            <w:webHidden/>
            <w:sz w:val="24"/>
            <w:szCs w:val="24"/>
          </w:rPr>
          <w:fldChar w:fldCharType="begin"/>
        </w:r>
        <w:r w:rsidRPr="00630967">
          <w:rPr>
            <w:rFonts w:ascii="宋体" w:eastAsia="宋体" w:hAnsi="宋体"/>
            <w:noProof/>
            <w:webHidden/>
            <w:sz w:val="24"/>
            <w:szCs w:val="24"/>
          </w:rPr>
          <w:instrText xml:space="preserve"> PAGEREF _Toc56106231 \h </w:instrText>
        </w:r>
        <w:r w:rsidRPr="00630967">
          <w:rPr>
            <w:rFonts w:ascii="宋体" w:eastAsia="宋体" w:hAnsi="宋体"/>
            <w:noProof/>
            <w:webHidden/>
            <w:sz w:val="24"/>
            <w:szCs w:val="24"/>
          </w:rPr>
        </w:r>
        <w:r w:rsidRPr="00630967">
          <w:rPr>
            <w:rFonts w:ascii="宋体" w:eastAsia="宋体" w:hAnsi="宋体"/>
            <w:noProof/>
            <w:webHidden/>
            <w:sz w:val="24"/>
            <w:szCs w:val="24"/>
          </w:rPr>
          <w:fldChar w:fldCharType="separate"/>
        </w:r>
        <w:r w:rsidRPr="00630967">
          <w:rPr>
            <w:rFonts w:ascii="宋体" w:eastAsia="宋体" w:hAnsi="宋体"/>
            <w:noProof/>
            <w:webHidden/>
            <w:sz w:val="24"/>
            <w:szCs w:val="24"/>
          </w:rPr>
          <w:t>5</w:t>
        </w:r>
        <w:r w:rsidRPr="00630967">
          <w:rPr>
            <w:rFonts w:ascii="宋体" w:eastAsia="宋体" w:hAnsi="宋体"/>
            <w:noProof/>
            <w:webHidden/>
            <w:sz w:val="24"/>
            <w:szCs w:val="24"/>
          </w:rPr>
          <w:fldChar w:fldCharType="end"/>
        </w:r>
      </w:hyperlink>
    </w:p>
    <w:p w:rsidR="00630967" w:rsidRPr="00630967" w:rsidRDefault="00630967">
      <w:pPr>
        <w:pStyle w:val="TOC1"/>
        <w:tabs>
          <w:tab w:val="right" w:leader="dot" w:pos="8296"/>
        </w:tabs>
        <w:rPr>
          <w:rFonts w:ascii="宋体" w:eastAsia="宋体" w:hAnsi="宋体"/>
          <w:b w:val="0"/>
          <w:bCs w:val="0"/>
          <w:caps w:val="0"/>
          <w:noProof/>
          <w:sz w:val="24"/>
          <w:szCs w:val="24"/>
        </w:rPr>
      </w:pPr>
      <w:hyperlink w:anchor="_Toc56106232" w:history="1">
        <w:r w:rsidRPr="00630967">
          <w:rPr>
            <w:rStyle w:val="a9"/>
            <w:rFonts w:ascii="宋体" w:eastAsia="宋体" w:hAnsi="宋体"/>
            <w:noProof/>
            <w:sz w:val="24"/>
            <w:szCs w:val="24"/>
          </w:rPr>
          <w:t>4.现阶段福州发展生物医药面临的挑战</w:t>
        </w:r>
        <w:r w:rsidRPr="00630967">
          <w:rPr>
            <w:rFonts w:ascii="宋体" w:eastAsia="宋体" w:hAnsi="宋体"/>
            <w:noProof/>
            <w:webHidden/>
            <w:sz w:val="24"/>
            <w:szCs w:val="24"/>
          </w:rPr>
          <w:tab/>
        </w:r>
        <w:r w:rsidRPr="00630967">
          <w:rPr>
            <w:rFonts w:ascii="宋体" w:eastAsia="宋体" w:hAnsi="宋体"/>
            <w:noProof/>
            <w:webHidden/>
            <w:sz w:val="24"/>
            <w:szCs w:val="24"/>
          </w:rPr>
          <w:fldChar w:fldCharType="begin"/>
        </w:r>
        <w:r w:rsidRPr="00630967">
          <w:rPr>
            <w:rFonts w:ascii="宋体" w:eastAsia="宋体" w:hAnsi="宋体"/>
            <w:noProof/>
            <w:webHidden/>
            <w:sz w:val="24"/>
            <w:szCs w:val="24"/>
          </w:rPr>
          <w:instrText xml:space="preserve"> PAGEREF _Toc56106232 \h </w:instrText>
        </w:r>
        <w:r w:rsidRPr="00630967">
          <w:rPr>
            <w:rFonts w:ascii="宋体" w:eastAsia="宋体" w:hAnsi="宋体"/>
            <w:noProof/>
            <w:webHidden/>
            <w:sz w:val="24"/>
            <w:szCs w:val="24"/>
          </w:rPr>
        </w:r>
        <w:r w:rsidRPr="00630967">
          <w:rPr>
            <w:rFonts w:ascii="宋体" w:eastAsia="宋体" w:hAnsi="宋体"/>
            <w:noProof/>
            <w:webHidden/>
            <w:sz w:val="24"/>
            <w:szCs w:val="24"/>
          </w:rPr>
          <w:fldChar w:fldCharType="separate"/>
        </w:r>
        <w:r w:rsidRPr="00630967">
          <w:rPr>
            <w:rFonts w:ascii="宋体" w:eastAsia="宋体" w:hAnsi="宋体"/>
            <w:noProof/>
            <w:webHidden/>
            <w:sz w:val="24"/>
            <w:szCs w:val="24"/>
          </w:rPr>
          <w:t>6</w:t>
        </w:r>
        <w:r w:rsidRPr="00630967">
          <w:rPr>
            <w:rFonts w:ascii="宋体" w:eastAsia="宋体" w:hAnsi="宋体"/>
            <w:noProof/>
            <w:webHidden/>
            <w:sz w:val="24"/>
            <w:szCs w:val="24"/>
          </w:rPr>
          <w:fldChar w:fldCharType="end"/>
        </w:r>
      </w:hyperlink>
    </w:p>
    <w:p w:rsidR="00630967" w:rsidRPr="00630967" w:rsidRDefault="00630967">
      <w:pPr>
        <w:pStyle w:val="TOC1"/>
        <w:tabs>
          <w:tab w:val="right" w:leader="dot" w:pos="8296"/>
        </w:tabs>
        <w:rPr>
          <w:rFonts w:ascii="宋体" w:eastAsia="宋体" w:hAnsi="宋体"/>
          <w:b w:val="0"/>
          <w:bCs w:val="0"/>
          <w:caps w:val="0"/>
          <w:noProof/>
          <w:sz w:val="24"/>
          <w:szCs w:val="24"/>
        </w:rPr>
      </w:pPr>
      <w:hyperlink w:anchor="_Toc56106233" w:history="1">
        <w:r w:rsidRPr="00630967">
          <w:rPr>
            <w:rStyle w:val="a9"/>
            <w:rFonts w:ascii="宋体" w:eastAsia="宋体" w:hAnsi="宋体"/>
            <w:noProof/>
            <w:sz w:val="24"/>
            <w:szCs w:val="24"/>
          </w:rPr>
          <w:t>5.建议与思考</w:t>
        </w:r>
        <w:r w:rsidRPr="00630967">
          <w:rPr>
            <w:rFonts w:ascii="宋体" w:eastAsia="宋体" w:hAnsi="宋体"/>
            <w:noProof/>
            <w:webHidden/>
            <w:sz w:val="24"/>
            <w:szCs w:val="24"/>
          </w:rPr>
          <w:tab/>
        </w:r>
        <w:r w:rsidRPr="00630967">
          <w:rPr>
            <w:rFonts w:ascii="宋体" w:eastAsia="宋体" w:hAnsi="宋体"/>
            <w:noProof/>
            <w:webHidden/>
            <w:sz w:val="24"/>
            <w:szCs w:val="24"/>
          </w:rPr>
          <w:fldChar w:fldCharType="begin"/>
        </w:r>
        <w:r w:rsidRPr="00630967">
          <w:rPr>
            <w:rFonts w:ascii="宋体" w:eastAsia="宋体" w:hAnsi="宋体"/>
            <w:noProof/>
            <w:webHidden/>
            <w:sz w:val="24"/>
            <w:szCs w:val="24"/>
          </w:rPr>
          <w:instrText xml:space="preserve"> PAGEREF _Toc56106233 \h </w:instrText>
        </w:r>
        <w:r w:rsidRPr="00630967">
          <w:rPr>
            <w:rFonts w:ascii="宋体" w:eastAsia="宋体" w:hAnsi="宋体"/>
            <w:noProof/>
            <w:webHidden/>
            <w:sz w:val="24"/>
            <w:szCs w:val="24"/>
          </w:rPr>
        </w:r>
        <w:r w:rsidRPr="00630967">
          <w:rPr>
            <w:rFonts w:ascii="宋体" w:eastAsia="宋体" w:hAnsi="宋体"/>
            <w:noProof/>
            <w:webHidden/>
            <w:sz w:val="24"/>
            <w:szCs w:val="24"/>
          </w:rPr>
          <w:fldChar w:fldCharType="separate"/>
        </w:r>
        <w:r w:rsidRPr="00630967">
          <w:rPr>
            <w:rFonts w:ascii="宋体" w:eastAsia="宋体" w:hAnsi="宋体"/>
            <w:noProof/>
            <w:webHidden/>
            <w:sz w:val="24"/>
            <w:szCs w:val="24"/>
          </w:rPr>
          <w:t>7</w:t>
        </w:r>
        <w:r w:rsidRPr="00630967">
          <w:rPr>
            <w:rFonts w:ascii="宋体" w:eastAsia="宋体" w:hAnsi="宋体"/>
            <w:noProof/>
            <w:webHidden/>
            <w:sz w:val="24"/>
            <w:szCs w:val="24"/>
          </w:rPr>
          <w:fldChar w:fldCharType="end"/>
        </w:r>
      </w:hyperlink>
    </w:p>
    <w:p w:rsidR="00630967" w:rsidRPr="00630967" w:rsidRDefault="00630967">
      <w:pPr>
        <w:pStyle w:val="TOC1"/>
        <w:tabs>
          <w:tab w:val="right" w:leader="dot" w:pos="8296"/>
        </w:tabs>
        <w:rPr>
          <w:rFonts w:ascii="宋体" w:eastAsia="宋体" w:hAnsi="宋体"/>
          <w:b w:val="0"/>
          <w:bCs w:val="0"/>
          <w:caps w:val="0"/>
          <w:noProof/>
          <w:sz w:val="24"/>
          <w:szCs w:val="24"/>
        </w:rPr>
      </w:pPr>
      <w:hyperlink w:anchor="_Toc56106234" w:history="1">
        <w:r w:rsidRPr="00630967">
          <w:rPr>
            <w:rStyle w:val="a9"/>
            <w:rFonts w:ascii="宋体" w:eastAsia="宋体" w:hAnsi="宋体"/>
            <w:noProof/>
            <w:sz w:val="24"/>
            <w:szCs w:val="24"/>
          </w:rPr>
          <w:t>6.小结</w:t>
        </w:r>
        <w:r w:rsidRPr="00630967">
          <w:rPr>
            <w:rFonts w:ascii="宋体" w:eastAsia="宋体" w:hAnsi="宋体"/>
            <w:noProof/>
            <w:webHidden/>
            <w:sz w:val="24"/>
            <w:szCs w:val="24"/>
          </w:rPr>
          <w:tab/>
        </w:r>
        <w:r w:rsidRPr="00630967">
          <w:rPr>
            <w:rFonts w:ascii="宋体" w:eastAsia="宋体" w:hAnsi="宋体"/>
            <w:noProof/>
            <w:webHidden/>
            <w:sz w:val="24"/>
            <w:szCs w:val="24"/>
          </w:rPr>
          <w:fldChar w:fldCharType="begin"/>
        </w:r>
        <w:r w:rsidRPr="00630967">
          <w:rPr>
            <w:rFonts w:ascii="宋体" w:eastAsia="宋体" w:hAnsi="宋体"/>
            <w:noProof/>
            <w:webHidden/>
            <w:sz w:val="24"/>
            <w:szCs w:val="24"/>
          </w:rPr>
          <w:instrText xml:space="preserve"> PAGEREF _Toc56106234 \h </w:instrText>
        </w:r>
        <w:r w:rsidRPr="00630967">
          <w:rPr>
            <w:rFonts w:ascii="宋体" w:eastAsia="宋体" w:hAnsi="宋体"/>
            <w:noProof/>
            <w:webHidden/>
            <w:sz w:val="24"/>
            <w:szCs w:val="24"/>
          </w:rPr>
        </w:r>
        <w:r w:rsidRPr="00630967">
          <w:rPr>
            <w:rFonts w:ascii="宋体" w:eastAsia="宋体" w:hAnsi="宋体"/>
            <w:noProof/>
            <w:webHidden/>
            <w:sz w:val="24"/>
            <w:szCs w:val="24"/>
          </w:rPr>
          <w:fldChar w:fldCharType="separate"/>
        </w:r>
        <w:r w:rsidRPr="00630967">
          <w:rPr>
            <w:rFonts w:ascii="宋体" w:eastAsia="宋体" w:hAnsi="宋体"/>
            <w:noProof/>
            <w:webHidden/>
            <w:sz w:val="24"/>
            <w:szCs w:val="24"/>
          </w:rPr>
          <w:t>7</w:t>
        </w:r>
        <w:r w:rsidRPr="00630967">
          <w:rPr>
            <w:rFonts w:ascii="宋体" w:eastAsia="宋体" w:hAnsi="宋体"/>
            <w:noProof/>
            <w:webHidden/>
            <w:sz w:val="24"/>
            <w:szCs w:val="24"/>
          </w:rPr>
          <w:fldChar w:fldCharType="end"/>
        </w:r>
      </w:hyperlink>
    </w:p>
    <w:p w:rsidR="00630967" w:rsidRDefault="00630967">
      <w:pPr>
        <w:pStyle w:val="TOC1"/>
        <w:tabs>
          <w:tab w:val="right" w:leader="dot" w:pos="8296"/>
        </w:tabs>
        <w:rPr>
          <w:rFonts w:eastAsiaTheme="minorEastAsia"/>
          <w:b w:val="0"/>
          <w:bCs w:val="0"/>
          <w:caps w:val="0"/>
          <w:noProof/>
          <w:sz w:val="21"/>
          <w:szCs w:val="24"/>
        </w:rPr>
      </w:pPr>
      <w:hyperlink w:anchor="_Toc56106235" w:history="1">
        <w:r w:rsidRPr="00630967">
          <w:rPr>
            <w:rStyle w:val="a9"/>
            <w:rFonts w:ascii="宋体" w:eastAsia="宋体" w:hAnsi="宋体"/>
            <w:noProof/>
            <w:sz w:val="24"/>
            <w:szCs w:val="24"/>
          </w:rPr>
          <w:t>7.参考文献</w:t>
        </w:r>
        <w:r w:rsidRPr="00630967">
          <w:rPr>
            <w:rFonts w:ascii="宋体" w:eastAsia="宋体" w:hAnsi="宋体"/>
            <w:noProof/>
            <w:webHidden/>
            <w:sz w:val="24"/>
            <w:szCs w:val="24"/>
          </w:rPr>
          <w:tab/>
        </w:r>
        <w:r w:rsidRPr="00630967">
          <w:rPr>
            <w:rFonts w:ascii="宋体" w:eastAsia="宋体" w:hAnsi="宋体"/>
            <w:noProof/>
            <w:webHidden/>
            <w:sz w:val="24"/>
            <w:szCs w:val="24"/>
          </w:rPr>
          <w:fldChar w:fldCharType="begin"/>
        </w:r>
        <w:r w:rsidRPr="00630967">
          <w:rPr>
            <w:rFonts w:ascii="宋体" w:eastAsia="宋体" w:hAnsi="宋体"/>
            <w:noProof/>
            <w:webHidden/>
            <w:sz w:val="24"/>
            <w:szCs w:val="24"/>
          </w:rPr>
          <w:instrText xml:space="preserve"> PAGEREF _Toc56106235 \h </w:instrText>
        </w:r>
        <w:r w:rsidRPr="00630967">
          <w:rPr>
            <w:rFonts w:ascii="宋体" w:eastAsia="宋体" w:hAnsi="宋体"/>
            <w:noProof/>
            <w:webHidden/>
            <w:sz w:val="24"/>
            <w:szCs w:val="24"/>
          </w:rPr>
        </w:r>
        <w:r w:rsidRPr="00630967">
          <w:rPr>
            <w:rFonts w:ascii="宋体" w:eastAsia="宋体" w:hAnsi="宋体"/>
            <w:noProof/>
            <w:webHidden/>
            <w:sz w:val="24"/>
            <w:szCs w:val="24"/>
          </w:rPr>
          <w:fldChar w:fldCharType="separate"/>
        </w:r>
        <w:r w:rsidRPr="00630967">
          <w:rPr>
            <w:rFonts w:ascii="宋体" w:eastAsia="宋体" w:hAnsi="宋体"/>
            <w:noProof/>
            <w:webHidden/>
            <w:sz w:val="24"/>
            <w:szCs w:val="24"/>
          </w:rPr>
          <w:t>8</w:t>
        </w:r>
        <w:r w:rsidRPr="00630967">
          <w:rPr>
            <w:rFonts w:ascii="宋体" w:eastAsia="宋体" w:hAnsi="宋体"/>
            <w:noProof/>
            <w:webHidden/>
            <w:sz w:val="24"/>
            <w:szCs w:val="24"/>
          </w:rPr>
          <w:fldChar w:fldCharType="end"/>
        </w:r>
      </w:hyperlink>
    </w:p>
    <w:p w:rsidR="00F01993" w:rsidRPr="00630967" w:rsidRDefault="00630967" w:rsidP="00630967">
      <w:pPr>
        <w:pStyle w:val="WPSOffice1"/>
        <w:tabs>
          <w:tab w:val="right" w:leader="dot" w:pos="8306"/>
        </w:tabs>
        <w:spacing w:line="360" w:lineRule="auto"/>
        <w:rPr>
          <w:rFonts w:hint="eastAsia"/>
          <w:sz w:val="24"/>
          <w:szCs w:val="24"/>
        </w:rPr>
      </w:pPr>
      <w:r>
        <w:rPr>
          <w:sz w:val="24"/>
          <w:szCs w:val="24"/>
        </w:rPr>
        <w:fldChar w:fldCharType="end"/>
      </w:r>
    </w:p>
    <w:p w:rsidR="00F01993" w:rsidRDefault="00F01993" w:rsidP="00630967">
      <w:pPr>
        <w:widowControl/>
        <w:jc w:val="right"/>
        <w:rPr>
          <w:rFonts w:ascii="黑体" w:eastAsia="黑体" w:hAnsi="黑体" w:cs="黑体"/>
          <w:b/>
          <w:bCs/>
          <w:sz w:val="50"/>
          <w:szCs w:val="50"/>
        </w:rPr>
      </w:pPr>
      <w:r>
        <w:rPr>
          <w:rFonts w:ascii="黑体" w:eastAsia="黑体" w:hAnsi="黑体" w:cs="黑体"/>
          <w:b/>
          <w:bCs/>
          <w:sz w:val="50"/>
          <w:szCs w:val="50"/>
        </w:rPr>
        <w:br w:type="page"/>
      </w:r>
    </w:p>
    <w:p w:rsidR="00F01993" w:rsidRDefault="00F01993" w:rsidP="002C1598">
      <w:pPr>
        <w:pStyle w:val="1"/>
        <w:rPr>
          <w:rFonts w:ascii="宋体" w:hAnsi="宋体"/>
          <w:sz w:val="32"/>
        </w:rPr>
      </w:pPr>
      <w:bookmarkStart w:id="13" w:name="_Toc11038"/>
      <w:bookmarkStart w:id="14" w:name="_Toc3597"/>
      <w:bookmarkStart w:id="15" w:name="_Toc22942"/>
      <w:bookmarkStart w:id="16" w:name="_Toc9531"/>
      <w:bookmarkStart w:id="17" w:name="_Toc15216"/>
      <w:bookmarkStart w:id="18" w:name="_Toc14477"/>
      <w:bookmarkStart w:id="19" w:name="_Toc56106229"/>
      <w:r>
        <w:rPr>
          <w:rFonts w:ascii="宋体" w:hAnsi="宋体" w:hint="eastAsia"/>
          <w:sz w:val="32"/>
        </w:rPr>
        <w:lastRenderedPageBreak/>
        <w:t>1.</w:t>
      </w:r>
      <w:r>
        <w:rPr>
          <w:rFonts w:ascii="宋体" w:hAnsi="宋体"/>
          <w:sz w:val="32"/>
        </w:rPr>
        <w:t>本次实地考察福州相关医药产业的概览</w:t>
      </w:r>
      <w:bookmarkEnd w:id="13"/>
      <w:bookmarkEnd w:id="14"/>
      <w:bookmarkEnd w:id="15"/>
      <w:bookmarkEnd w:id="16"/>
      <w:bookmarkEnd w:id="17"/>
      <w:bookmarkEnd w:id="18"/>
      <w:bookmarkEnd w:id="19"/>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本次思政实践主要在福建省福州市仓山区进行。福州市地理位置优越，是地处长三角和珠三角中间的省会城市，拥有广阔的发展前景。在政策上，福州市受到政策春风吹拂，是国务院批复确定的中国海峡西岸经济区中心城市之一。在土地面积上，福州市地域广阔，下辖</w:t>
      </w:r>
      <w:r>
        <w:rPr>
          <w:rFonts w:ascii="宋体" w:eastAsia="宋体" w:hAnsi="宋体"/>
          <w:sz w:val="24"/>
          <w:szCs w:val="28"/>
        </w:rPr>
        <w:t>6个区、6个县、和1个县级市，总面积11968平方千米，具备不断扩大发展、永志创新的能力。在历史上，福州市为古代海上丝绸之路的门户，是近代中国最早开放的五个通商口岸之一，更是现代首批对外开放的沿海开放城市、海洋经济发展示范区，以及中国（福建）自由贸易试验区组成部分。而本次思政</w:t>
      </w:r>
      <w:r>
        <w:rPr>
          <w:rFonts w:ascii="宋体" w:eastAsia="宋体" w:hAnsi="宋体" w:hint="eastAsia"/>
          <w:sz w:val="24"/>
          <w:szCs w:val="28"/>
        </w:rPr>
        <w:t>实践团队主要奔赴的仓山区则是福州市近年来冉冉升起的新星。仓山区地处福州城区南部，四面临江，辖整个南台岛；区域面积</w:t>
      </w:r>
      <w:r>
        <w:rPr>
          <w:rFonts w:ascii="宋体" w:eastAsia="宋体" w:hAnsi="宋体"/>
          <w:sz w:val="24"/>
          <w:szCs w:val="28"/>
        </w:rPr>
        <w:t>142平方千米，加上洲地</w:t>
      </w:r>
      <w:r>
        <w:rPr>
          <w:rFonts w:ascii="宋体" w:eastAsia="宋体" w:hAnsi="宋体" w:hint="eastAsia"/>
          <w:sz w:val="24"/>
          <w:szCs w:val="28"/>
        </w:rPr>
        <w:t>，</w:t>
      </w:r>
      <w:r>
        <w:rPr>
          <w:rFonts w:ascii="宋体" w:eastAsia="宋体" w:hAnsi="宋体"/>
          <w:sz w:val="24"/>
          <w:szCs w:val="28"/>
        </w:rPr>
        <w:t>面积逾150平方千米。在经济上，仓山区取得了辉煌的成绩。2019年，全年实现地区生产总值824.87亿元，比上年增长8.4%。全年人均地区生产总值97387元，比上年增长6.3%。 在这个 “智慧仓山”、“人文仓山”、“生态仓山”的钟灵毓秀之地，也存在着许多经济增长的机遇。</w:t>
      </w:r>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思政实践团队在为期三天的实践中走访了螺洲镇陈氏宗祠、吴石纪念广场、三江口片区、金山工业园区、仓山区互联网小镇、北斗小镇、畲族文化风情村、罗源县苏维埃政府旧址，参与了与福建师范大学附属中学师生交流活动、南台论坛及青年人才圆桌会。短短三天，活动十分充实。</w:t>
      </w:r>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在活动中，同学们对于福州市近期优先发展的生物医药产业产生了浓厚的兴趣。在疫情的冲击下，医疗健康成为全球最火热的话题。医疗健康与人类的命运和福祉息息相关。随着人口老龄化与两孩政策的放开，生物医药行业迎来了新的风口。是否能够抓住当下生物医药产业发展新机遇，对于福州市以及福州市仓山区的医药健康产业跨越发展至关重要。仓山区政府提供的数据显示，</w:t>
      </w:r>
      <w:r>
        <w:rPr>
          <w:rFonts w:ascii="宋体" w:eastAsia="宋体" w:hAnsi="宋体"/>
          <w:sz w:val="24"/>
          <w:szCs w:val="28"/>
        </w:rPr>
        <w:t>2019年仓山区生物医药流通服务企业销售额为88.7亿，生物医药产业规模接近120亿。企业覆盖了医药产业链从研发、生产制造到流通和医疗服务的各个环节。</w:t>
      </w:r>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因此，实践团拟从生物医药在福州的发展历史讲起，深入阐述福州发展生物医药的优势及现阶段福州发展生物医药面临的挑战，最后给出自己的建议与思考。</w:t>
      </w:r>
    </w:p>
    <w:p w:rsidR="00F01993" w:rsidRDefault="00F01993" w:rsidP="00F01993">
      <w:pPr>
        <w:ind w:firstLineChars="200" w:firstLine="420"/>
        <w:rPr>
          <w:rFonts w:ascii="宋体" w:eastAsia="宋体" w:hAnsi="宋体"/>
        </w:rPr>
      </w:pPr>
    </w:p>
    <w:p w:rsidR="00F01993" w:rsidRDefault="00F01993" w:rsidP="002C1598">
      <w:pPr>
        <w:pStyle w:val="1"/>
        <w:rPr>
          <w:rFonts w:ascii="宋体" w:hAnsi="宋体"/>
          <w:sz w:val="32"/>
        </w:rPr>
      </w:pPr>
      <w:bookmarkStart w:id="20" w:name="_Toc29472"/>
      <w:bookmarkStart w:id="21" w:name="_Toc18298"/>
      <w:bookmarkStart w:id="22" w:name="_Toc16954"/>
      <w:bookmarkStart w:id="23" w:name="_Toc2459"/>
      <w:bookmarkStart w:id="24" w:name="_Toc222"/>
      <w:bookmarkStart w:id="25" w:name="_Toc13622"/>
      <w:bookmarkStart w:id="26" w:name="_Toc18785"/>
      <w:bookmarkStart w:id="27" w:name="_Toc626"/>
      <w:bookmarkStart w:id="28" w:name="_Toc26721"/>
      <w:bookmarkStart w:id="29" w:name="_Toc30147"/>
      <w:bookmarkStart w:id="30" w:name="_Toc7846"/>
      <w:bookmarkStart w:id="31" w:name="_Toc24743"/>
      <w:bookmarkStart w:id="32" w:name="_Toc4920"/>
      <w:bookmarkStart w:id="33" w:name="_Toc56106230"/>
      <w:r>
        <w:rPr>
          <w:rFonts w:ascii="宋体" w:hAnsi="宋体" w:hint="eastAsia"/>
          <w:sz w:val="32"/>
        </w:rPr>
        <w:t>2.</w:t>
      </w:r>
      <w:r>
        <w:rPr>
          <w:rFonts w:ascii="宋体" w:hAnsi="宋体"/>
          <w:sz w:val="32"/>
        </w:rPr>
        <w:t>生物医药在福州的发展历史</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“十一五”期间，生物产业被列为全国重点发展的战略性产业，其中生物医药产业占主导地位，福建省福州市积极响应国家政策，将生物医药产业列入重点产业之一，</w:t>
      </w:r>
      <w:r>
        <w:rPr>
          <w:rFonts w:ascii="宋体" w:eastAsia="宋体" w:hAnsi="宋体"/>
          <w:sz w:val="24"/>
          <w:szCs w:val="28"/>
        </w:rPr>
        <w:t>2007年福州市成立生物医药行业技术创新中心，该中心依托福州金山科技企业孵化器和福州长富星新药开发科技有限公司、福建福大百特科技发展有限公司等企业开展生物医药的技术创新活动，为福州市从事生物技术医药产品开发、中药现代技术应用以及制剂新技术、新品种研发的企业、高校和科研院所研究人员提供了一个自主创新的平台，为福州市的生物医药中小企业提供了集新药筛选、检验检测、中试生</w:t>
      </w:r>
      <w:r>
        <w:rPr>
          <w:rFonts w:ascii="宋体" w:eastAsia="宋体" w:hAnsi="宋体" w:hint="eastAsia"/>
          <w:sz w:val="24"/>
          <w:szCs w:val="28"/>
        </w:rPr>
        <w:t>产、技术咨询、信息服务为一体的公共技术服务体系。</w:t>
      </w:r>
    </w:p>
    <w:p w:rsidR="00F01993" w:rsidRDefault="00F01993" w:rsidP="00F01993">
      <w:pPr>
        <w:ind w:firstLineChars="200" w:firstLine="480"/>
        <w:rPr>
          <w:rFonts w:ascii="宋体" w:eastAsia="宋体" w:hAnsi="宋体"/>
          <w:sz w:val="24"/>
          <w:szCs w:val="28"/>
        </w:rPr>
      </w:pPr>
      <w:r>
        <w:rPr>
          <w:rFonts w:ascii="宋体" w:eastAsia="宋体" w:hAnsi="宋体"/>
          <w:sz w:val="24"/>
          <w:szCs w:val="28"/>
        </w:rPr>
        <w:t>2008年，福州市生物医药产业共完成工业总产值109.16亿元（包括广义生</w:t>
      </w:r>
      <w:r>
        <w:rPr>
          <w:rFonts w:ascii="宋体" w:eastAsia="宋体" w:hAnsi="宋体"/>
          <w:sz w:val="24"/>
          <w:szCs w:val="28"/>
        </w:rPr>
        <w:lastRenderedPageBreak/>
        <w:t>物产业），同比增长24.72%；实现工业增加值49.12亿元，占福州市生产总值的5.80%；全年共完成销售收入104.25亿元，同比增长23.31%；实现利税13.62亿元，比上年增长23.67%。2008年底，福州市共有生物医药生产企业30多家，占全市医药企业总数的36%，生物医药总产值近17亿元，占全市医药工业总产值42%，生物医药产业已初具规模。</w:t>
      </w:r>
    </w:p>
    <w:p w:rsidR="00F01993" w:rsidRDefault="00F01993" w:rsidP="00F01993">
      <w:pPr>
        <w:ind w:firstLineChars="200" w:firstLine="480"/>
        <w:rPr>
          <w:rFonts w:ascii="宋体" w:eastAsia="宋体" w:hAnsi="宋体"/>
          <w:sz w:val="24"/>
          <w:szCs w:val="28"/>
        </w:rPr>
      </w:pPr>
      <w:r>
        <w:rPr>
          <w:rFonts w:ascii="宋体" w:eastAsia="宋体" w:hAnsi="宋体"/>
          <w:sz w:val="24"/>
          <w:szCs w:val="28"/>
        </w:rPr>
        <w:t>2009年9月，福州市在闽侯南屿搭建生物医药产业园，拟将建成集重点发展疫苗、基因工程药物、诊断试剂和生物医学分析仪器、高端医疗器械等产品五位于一体生物医药产业园。园区建成后，将着力打造研究开发、企业孵化、生产制造、物流配送、教育培训于一体的生物医药产业基地。</w:t>
      </w:r>
    </w:p>
    <w:p w:rsidR="00F01993" w:rsidRDefault="00F01993" w:rsidP="00F01993">
      <w:pPr>
        <w:ind w:firstLineChars="200" w:firstLine="480"/>
        <w:rPr>
          <w:rFonts w:ascii="宋体" w:eastAsia="宋体" w:hAnsi="宋体"/>
          <w:sz w:val="24"/>
          <w:szCs w:val="28"/>
        </w:rPr>
      </w:pPr>
      <w:r>
        <w:rPr>
          <w:rFonts w:ascii="宋体" w:eastAsia="宋体" w:hAnsi="宋体"/>
          <w:sz w:val="24"/>
          <w:szCs w:val="28"/>
        </w:rPr>
        <w:t>2008-2010年医药行业政策密集出台，一方面在新药审批、流通、环保、药品安全等方面加强行业监管，另一方面国家加大对医药健康产业的政策支持力度，出台《促进生物产业加快发展的若干政策》，引导社会资本流向医药生物产业，在这种大背景下，福州市生物医药企业通过事实资产并购重组、技术改造、产学研合作</w:t>
      </w:r>
      <w:r>
        <w:rPr>
          <w:rFonts w:ascii="宋体" w:eastAsia="宋体" w:hAnsi="宋体" w:hint="eastAsia"/>
          <w:sz w:val="24"/>
          <w:szCs w:val="28"/>
        </w:rPr>
        <w:t>和</w:t>
      </w:r>
      <w:r>
        <w:rPr>
          <w:rFonts w:ascii="宋体" w:eastAsia="宋体" w:hAnsi="宋体"/>
          <w:sz w:val="24"/>
          <w:szCs w:val="28"/>
        </w:rPr>
        <w:t>降低准入门槛等战备性专业策略，逐步形成具有一定竞争优势的大企业（集团），如福抗药业等企业积极引进利用国内外医药生产工艺，迅速提升了企业的生产能力</w:t>
      </w:r>
      <w:r>
        <w:rPr>
          <w:rFonts w:ascii="宋体" w:eastAsia="宋体" w:hAnsi="宋体" w:hint="eastAsia"/>
          <w:sz w:val="24"/>
          <w:szCs w:val="28"/>
        </w:rPr>
        <w:t>和</w:t>
      </w:r>
      <w:r>
        <w:rPr>
          <w:rFonts w:ascii="宋体" w:eastAsia="宋体" w:hAnsi="宋体"/>
          <w:sz w:val="24"/>
          <w:szCs w:val="28"/>
        </w:rPr>
        <w:t>技术水平。</w:t>
      </w:r>
    </w:p>
    <w:p w:rsidR="00F01993" w:rsidRDefault="00F01993" w:rsidP="00F01993">
      <w:pPr>
        <w:ind w:firstLineChars="200" w:firstLine="480"/>
        <w:rPr>
          <w:rFonts w:ascii="宋体" w:eastAsia="宋体" w:hAnsi="宋体"/>
          <w:sz w:val="24"/>
          <w:szCs w:val="28"/>
        </w:rPr>
      </w:pPr>
      <w:r>
        <w:rPr>
          <w:rFonts w:ascii="宋体" w:eastAsia="宋体" w:hAnsi="宋体"/>
          <w:sz w:val="24"/>
          <w:szCs w:val="28"/>
        </w:rPr>
        <w:t>2010年，福建天香股份有限公司进军生物制药产业，计划投资1.1亿元建设3个生物工程和生物制药企业；福建新大陆股份有限公司把生物制药作为该公司3大高科技产业支柱之一。大量社会资金的投入，推动了福州生物医药项目研发，提升了福州生物医药产品的竞争力，一批有竞争力的生物制药产品迅速占领市场，如福州泰普生物有限公司等生产的诊断试剂盒在国内市场有一定份额。</w:t>
      </w:r>
    </w:p>
    <w:p w:rsidR="00F01993" w:rsidRDefault="00F01993" w:rsidP="00F01993">
      <w:pPr>
        <w:ind w:firstLineChars="200" w:firstLine="480"/>
        <w:rPr>
          <w:rFonts w:ascii="宋体" w:eastAsia="宋体" w:hAnsi="宋体"/>
          <w:sz w:val="24"/>
          <w:szCs w:val="28"/>
        </w:rPr>
      </w:pPr>
      <w:r>
        <w:rPr>
          <w:rFonts w:ascii="宋体" w:eastAsia="宋体" w:hAnsi="宋体"/>
          <w:sz w:val="24"/>
          <w:szCs w:val="28"/>
        </w:rPr>
        <w:t>2016年福州市投促局开始对接引进克里贝尔生物医药产业园项目，并将其作为重点招商项目，该项目集高新肿瘤分子诊断、治疗研究中心和体外诊断试剂生产基地为一体，建成后将成为东南亚最大的体外诊断产品生产基地。2018年1月25日克里贝尔生物医药产业园项目竞得仓山区荧鸿地块的国有建设用地使用权，随后完成项目备案，开启福州市与德国生物医药企业“工业4.0”的合作。</w:t>
      </w:r>
    </w:p>
    <w:p w:rsidR="00F01993" w:rsidRDefault="00F01993" w:rsidP="00F01993">
      <w:pPr>
        <w:ind w:firstLineChars="200" w:firstLine="480"/>
        <w:rPr>
          <w:rFonts w:ascii="宋体" w:eastAsia="宋体" w:hAnsi="宋体"/>
          <w:sz w:val="24"/>
          <w:szCs w:val="28"/>
        </w:rPr>
      </w:pPr>
      <w:r>
        <w:rPr>
          <w:rFonts w:ascii="宋体" w:eastAsia="宋体" w:hAnsi="宋体"/>
          <w:sz w:val="24"/>
          <w:szCs w:val="28"/>
        </w:rPr>
        <w:t>2017年，福州省坚持重点突破与集聚发展相结合，坚持走品牌化、特色化发展道路，以产业集聚区、总部经济、产业园、医械产业交易网、产业链及重大项目为主要抓手，以完善质量保障为基础，以创新和人才支持为核心，全省初步形成化学原料药、化药制剂、中成药、生物制药、中药饮片、卫生材料、医疗器械等门类较为齐全的医药工业体系。2017年福建省全省规模以上医药生产企业169家，实现工业总产值404亿，增长10.1%；销售产值385.1元，增长10.1%。</w:t>
      </w:r>
    </w:p>
    <w:p w:rsidR="00F01993" w:rsidRDefault="00F01993" w:rsidP="00F01993">
      <w:pPr>
        <w:ind w:firstLineChars="200" w:firstLine="480"/>
        <w:rPr>
          <w:rFonts w:ascii="宋体" w:eastAsia="宋体" w:hAnsi="宋体"/>
          <w:sz w:val="24"/>
          <w:szCs w:val="28"/>
        </w:rPr>
      </w:pPr>
      <w:r>
        <w:rPr>
          <w:rFonts w:ascii="宋体" w:eastAsia="宋体" w:hAnsi="宋体"/>
          <w:sz w:val="24"/>
          <w:szCs w:val="28"/>
        </w:rPr>
        <w:t>2017年5月，福州高新区在福州市出台“十项”政策的基础上，结合高新区实际，发布了园区“7+8”政策体系，其中包括关于促进生物医药产业发展的七条措施，入驻福州高新区的生物医药企业将在项目用地、研发、税收奖励、资质认证等方面给予政策扶持，当时已引进了博奥基因检测、迈新生物、吉特瑞、阿吉安、四川新绿色、巨泽医药等生物医药项目。</w:t>
      </w:r>
    </w:p>
    <w:p w:rsidR="00F01993" w:rsidRDefault="00F01993" w:rsidP="00F01993">
      <w:pPr>
        <w:ind w:firstLineChars="200" w:firstLine="480"/>
        <w:rPr>
          <w:rFonts w:ascii="宋体" w:eastAsia="宋体" w:hAnsi="宋体"/>
          <w:sz w:val="24"/>
          <w:szCs w:val="28"/>
        </w:rPr>
      </w:pPr>
      <w:r>
        <w:rPr>
          <w:rFonts w:ascii="宋体" w:eastAsia="宋体" w:hAnsi="宋体"/>
          <w:sz w:val="24"/>
          <w:szCs w:val="28"/>
        </w:rPr>
        <w:t>2020年，福建省福州市仓山区发布了关于推进生物医药产业发展的五条措施，从研发费用、科研创新项目、仿制药一次性评价等方面给予企业不超过150万元的奖励。2020年5月，仓山区举办第二季度重点招商项目—生物医药专场签约仪式，谋划落地生物医药产业项目10个，预计总投资额达115亿元。同时，仓山区还成立了生物医药产业推进工作领导小组，成立由北京大学相关专业博士组成的生物医药产业工作专家组，并着手组建由科研院校、风投机构、生物医药企业等四方代表组成的生物医药产业联盟。</w:t>
      </w:r>
    </w:p>
    <w:p w:rsidR="00F01993" w:rsidRDefault="00F01993" w:rsidP="00F01993">
      <w:pPr>
        <w:ind w:firstLineChars="200" w:firstLine="420"/>
        <w:rPr>
          <w:rFonts w:ascii="宋体" w:eastAsia="宋体" w:hAnsi="宋体"/>
        </w:rPr>
      </w:pPr>
    </w:p>
    <w:p w:rsidR="00F01993" w:rsidRDefault="00F01993" w:rsidP="00F01993">
      <w:pPr>
        <w:rPr>
          <w:rFonts w:ascii="宋体" w:eastAsia="宋体" w:hAnsi="宋体"/>
        </w:rPr>
      </w:pPr>
    </w:p>
    <w:p w:rsidR="00F01993" w:rsidRDefault="00F01993" w:rsidP="002C1598">
      <w:pPr>
        <w:pStyle w:val="1"/>
        <w:rPr>
          <w:rFonts w:ascii="宋体" w:hAnsi="宋体"/>
          <w:sz w:val="32"/>
        </w:rPr>
      </w:pPr>
      <w:bookmarkStart w:id="34" w:name="_Toc26648"/>
      <w:bookmarkStart w:id="35" w:name="_Toc11266"/>
      <w:bookmarkStart w:id="36" w:name="_Toc7831"/>
      <w:bookmarkStart w:id="37" w:name="_Toc22895"/>
      <w:bookmarkStart w:id="38" w:name="_Toc19209"/>
      <w:bookmarkStart w:id="39" w:name="_Toc16758"/>
      <w:bookmarkStart w:id="40" w:name="_Toc542"/>
      <w:bookmarkStart w:id="41" w:name="_Toc6347"/>
      <w:bookmarkStart w:id="42" w:name="_Toc13774"/>
      <w:bookmarkStart w:id="43" w:name="_Toc2667"/>
      <w:bookmarkStart w:id="44" w:name="_Toc25534"/>
      <w:bookmarkStart w:id="45" w:name="_Toc18528"/>
      <w:bookmarkStart w:id="46" w:name="_Toc21620"/>
      <w:bookmarkStart w:id="47" w:name="_Toc56106231"/>
      <w:r>
        <w:rPr>
          <w:rFonts w:ascii="宋体" w:hAnsi="宋体" w:hint="eastAsia"/>
          <w:sz w:val="32"/>
        </w:rPr>
        <w:t>3.</w:t>
      </w:r>
      <w:r>
        <w:rPr>
          <w:rFonts w:ascii="宋体" w:hAnsi="宋体" w:hint="eastAsia"/>
          <w:sz w:val="32"/>
        </w:rPr>
        <w:t>福州发展生物医药的优势</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F01993" w:rsidRDefault="00F01993" w:rsidP="00F01993">
      <w:pPr>
        <w:jc w:val="left"/>
        <w:outlineLvl w:val="1"/>
        <w:rPr>
          <w:rFonts w:ascii="宋体" w:eastAsia="宋体" w:hAnsi="宋体"/>
          <w:b/>
          <w:bCs/>
          <w:sz w:val="24"/>
          <w:szCs w:val="24"/>
        </w:rPr>
      </w:pPr>
      <w:bookmarkStart w:id="48" w:name="_Toc1641"/>
      <w:bookmarkStart w:id="49" w:name="_Toc26234"/>
      <w:r>
        <w:rPr>
          <w:rFonts w:ascii="宋体" w:eastAsia="宋体" w:hAnsi="宋体" w:hint="eastAsia"/>
          <w:b/>
          <w:bCs/>
          <w:sz w:val="24"/>
          <w:szCs w:val="24"/>
        </w:rPr>
        <w:t>3.1生物医药产业的发展基础较好</w:t>
      </w:r>
      <w:bookmarkEnd w:id="48"/>
      <w:bookmarkEnd w:id="49"/>
    </w:p>
    <w:p w:rsidR="00F01993" w:rsidRDefault="00F01993" w:rsidP="00F01993">
      <w:pPr>
        <w:jc w:val="left"/>
        <w:outlineLvl w:val="2"/>
        <w:rPr>
          <w:rFonts w:ascii="宋体" w:eastAsia="宋体" w:hAnsi="宋体"/>
          <w:b/>
          <w:bCs/>
          <w:sz w:val="24"/>
          <w:szCs w:val="24"/>
        </w:rPr>
      </w:pPr>
      <w:bookmarkStart w:id="50" w:name="_Toc5644"/>
      <w:r>
        <w:rPr>
          <w:rFonts w:ascii="宋体" w:eastAsia="宋体" w:hAnsi="宋体" w:hint="eastAsia"/>
          <w:b/>
          <w:bCs/>
          <w:sz w:val="24"/>
          <w:szCs w:val="24"/>
        </w:rPr>
        <w:t>3.1.1产业规模平稳增长</w:t>
      </w:r>
      <w:bookmarkEnd w:id="50"/>
    </w:p>
    <w:p w:rsidR="00F01993" w:rsidRDefault="00F01993" w:rsidP="00F01993">
      <w:pPr>
        <w:ind w:firstLineChars="200" w:firstLine="480"/>
        <w:rPr>
          <w:rFonts w:ascii="宋体" w:eastAsia="宋体" w:hAnsi="宋体"/>
          <w:sz w:val="24"/>
          <w:szCs w:val="24"/>
        </w:rPr>
      </w:pPr>
      <w:r>
        <w:rPr>
          <w:rFonts w:ascii="宋体" w:eastAsia="宋体" w:hAnsi="宋体" w:hint="eastAsia"/>
          <w:sz w:val="24"/>
          <w:szCs w:val="24"/>
        </w:rPr>
        <w:t>近年来，福州市生物医药产业规模平稳增长。以仓山区为例，</w:t>
      </w:r>
      <w:r>
        <w:rPr>
          <w:rFonts w:ascii="宋体" w:eastAsia="宋体" w:hAnsi="宋体"/>
          <w:sz w:val="24"/>
          <w:szCs w:val="24"/>
        </w:rPr>
        <w:t>2017-2019年，仓山区生物医药工业产值分别为23.7亿，26.9亿，29.3亿，年均增速达7.3%。现福州的生物医药产业的发展趋势健康良好。</w:t>
      </w:r>
    </w:p>
    <w:p w:rsidR="00F01993" w:rsidRDefault="00F01993" w:rsidP="00F01993">
      <w:pPr>
        <w:ind w:firstLineChars="200" w:firstLine="482"/>
        <w:rPr>
          <w:rFonts w:ascii="宋体" w:eastAsia="宋体" w:hAnsi="宋体"/>
          <w:b/>
          <w:bCs/>
          <w:sz w:val="24"/>
          <w:szCs w:val="24"/>
        </w:rPr>
      </w:pPr>
    </w:p>
    <w:p w:rsidR="00F01993" w:rsidRDefault="00F01993" w:rsidP="00F01993">
      <w:pPr>
        <w:outlineLvl w:val="2"/>
        <w:rPr>
          <w:rFonts w:ascii="宋体" w:eastAsia="宋体" w:hAnsi="宋体"/>
          <w:b/>
          <w:bCs/>
          <w:sz w:val="24"/>
          <w:szCs w:val="24"/>
        </w:rPr>
      </w:pPr>
      <w:bookmarkStart w:id="51" w:name="_Toc22908"/>
      <w:r>
        <w:rPr>
          <w:rFonts w:ascii="宋体" w:eastAsia="宋体" w:hAnsi="宋体" w:hint="eastAsia"/>
          <w:b/>
          <w:bCs/>
          <w:sz w:val="24"/>
          <w:szCs w:val="24"/>
        </w:rPr>
        <w:t>3.1.2</w:t>
      </w:r>
      <w:r>
        <w:rPr>
          <w:rFonts w:ascii="宋体" w:eastAsia="宋体" w:hAnsi="宋体"/>
          <w:b/>
          <w:bCs/>
          <w:sz w:val="24"/>
          <w:szCs w:val="24"/>
        </w:rPr>
        <w:t>产业链条较为完整</w:t>
      </w:r>
      <w:bookmarkEnd w:id="51"/>
    </w:p>
    <w:p w:rsidR="00F01993" w:rsidRDefault="00F01993" w:rsidP="00F01993">
      <w:pPr>
        <w:ind w:firstLineChars="200" w:firstLine="480"/>
        <w:rPr>
          <w:rFonts w:ascii="宋体" w:eastAsia="宋体" w:hAnsi="宋体"/>
          <w:sz w:val="24"/>
          <w:szCs w:val="24"/>
        </w:rPr>
      </w:pPr>
      <w:r>
        <w:rPr>
          <w:rFonts w:ascii="宋体" w:eastAsia="宋体" w:hAnsi="宋体" w:hint="eastAsia"/>
          <w:sz w:val="24"/>
          <w:szCs w:val="24"/>
        </w:rPr>
        <w:t>福州市域内生物医药产业链条较为完整，域内的生物医药企业覆盖了医药产业链从研发、生产制造到流通和医疗服务的各个环节。上游研发方面，有从事新药研发的企业；中游生产方面，有集研发与生产于一体的化学药和中成药生产企业，有从事中药饮片和保健品的生产企业；下游流通和服务方面，有大型药品和器械批发零售类企业，有第三方医学实验室。</w:t>
      </w:r>
    </w:p>
    <w:p w:rsidR="00F01993" w:rsidRDefault="00F01993" w:rsidP="00F01993">
      <w:pPr>
        <w:rPr>
          <w:rFonts w:ascii="宋体" w:eastAsia="宋体" w:hAnsi="宋体"/>
          <w:sz w:val="24"/>
          <w:szCs w:val="24"/>
        </w:rPr>
      </w:pPr>
    </w:p>
    <w:p w:rsidR="00F01993" w:rsidRDefault="00F01993" w:rsidP="00F01993">
      <w:pPr>
        <w:outlineLvl w:val="2"/>
        <w:rPr>
          <w:rFonts w:ascii="宋体" w:eastAsia="宋体" w:hAnsi="宋体"/>
          <w:b/>
          <w:bCs/>
          <w:sz w:val="24"/>
          <w:szCs w:val="24"/>
        </w:rPr>
      </w:pPr>
      <w:bookmarkStart w:id="52" w:name="_Toc151"/>
      <w:r>
        <w:rPr>
          <w:rFonts w:ascii="宋体" w:eastAsia="宋体" w:hAnsi="宋体" w:hint="eastAsia"/>
          <w:b/>
          <w:bCs/>
          <w:sz w:val="24"/>
          <w:szCs w:val="24"/>
        </w:rPr>
        <w:t>3.1.3</w:t>
      </w:r>
      <w:r>
        <w:rPr>
          <w:rFonts w:ascii="宋体" w:eastAsia="宋体" w:hAnsi="宋体"/>
          <w:b/>
          <w:bCs/>
          <w:sz w:val="24"/>
          <w:szCs w:val="24"/>
        </w:rPr>
        <w:t>存量企业优势突出</w:t>
      </w:r>
      <w:bookmarkEnd w:id="52"/>
    </w:p>
    <w:p w:rsidR="00F01993" w:rsidRDefault="00F01993" w:rsidP="00F01993">
      <w:pPr>
        <w:ind w:firstLineChars="200" w:firstLine="480"/>
        <w:rPr>
          <w:rFonts w:ascii="宋体" w:eastAsia="宋体" w:hAnsi="宋体"/>
          <w:sz w:val="24"/>
          <w:szCs w:val="24"/>
        </w:rPr>
      </w:pPr>
      <w:r>
        <w:rPr>
          <w:rFonts w:ascii="宋体" w:eastAsia="宋体" w:hAnsi="宋体" w:hint="eastAsia"/>
          <w:sz w:val="24"/>
          <w:szCs w:val="24"/>
        </w:rPr>
        <w:t>福州市有大量生物医药企业，不乏上市企业和年流通销售额上亿的企业，福州现有企业优势突出，在各自领域成绩显著。以本次思政实践团调研的仓山区为例，以研发为主的海西新药拥有国家千人计划专家康心汕博士带领的科研团队，自主研发能力强。以生产制造为主的一些企业拥有盈利能力强的全国独家品种。以批发零售为主的康佰家、同春等企业是医药流通领域的龙头企业。在中医门诊服务领域，一些企业可以领跑福建省中医门诊类企业。由此可见，福州市生物医药行业发展势头很好。</w:t>
      </w:r>
    </w:p>
    <w:p w:rsidR="00F01993" w:rsidRDefault="00F01993" w:rsidP="00F01993">
      <w:pPr>
        <w:ind w:firstLineChars="200" w:firstLine="480"/>
        <w:rPr>
          <w:rFonts w:ascii="宋体" w:eastAsia="宋体" w:hAnsi="宋体"/>
          <w:sz w:val="24"/>
          <w:szCs w:val="24"/>
        </w:rPr>
      </w:pPr>
    </w:p>
    <w:p w:rsidR="00F01993" w:rsidRDefault="00F01993" w:rsidP="00F01993">
      <w:pPr>
        <w:jc w:val="left"/>
        <w:outlineLvl w:val="1"/>
        <w:rPr>
          <w:rFonts w:ascii="宋体" w:eastAsia="宋体" w:hAnsi="宋体"/>
          <w:b/>
          <w:bCs/>
          <w:sz w:val="24"/>
          <w:szCs w:val="24"/>
        </w:rPr>
      </w:pPr>
      <w:bookmarkStart w:id="53" w:name="_Toc31258"/>
      <w:bookmarkStart w:id="54" w:name="_Toc7608"/>
      <w:r>
        <w:rPr>
          <w:rFonts w:ascii="宋体" w:eastAsia="宋体" w:hAnsi="宋体" w:hint="eastAsia"/>
          <w:b/>
          <w:bCs/>
          <w:sz w:val="24"/>
          <w:szCs w:val="24"/>
        </w:rPr>
        <w:t>3.2发展机遇良好</w:t>
      </w:r>
      <w:bookmarkEnd w:id="53"/>
      <w:bookmarkEnd w:id="54"/>
    </w:p>
    <w:p w:rsidR="00F01993" w:rsidRDefault="00F01993" w:rsidP="00F01993">
      <w:pPr>
        <w:outlineLvl w:val="2"/>
        <w:rPr>
          <w:rFonts w:ascii="宋体" w:eastAsia="宋体" w:hAnsi="宋体"/>
          <w:b/>
          <w:bCs/>
          <w:sz w:val="24"/>
          <w:szCs w:val="24"/>
        </w:rPr>
      </w:pPr>
      <w:bookmarkStart w:id="55" w:name="_Toc6894"/>
      <w:r>
        <w:rPr>
          <w:rFonts w:ascii="宋体" w:eastAsia="宋体" w:hAnsi="宋体" w:hint="eastAsia"/>
          <w:b/>
          <w:bCs/>
          <w:sz w:val="24"/>
          <w:szCs w:val="24"/>
        </w:rPr>
        <w:t>3.2.1</w:t>
      </w:r>
      <w:r>
        <w:rPr>
          <w:rFonts w:ascii="宋体" w:eastAsia="宋体" w:hAnsi="宋体"/>
          <w:b/>
          <w:bCs/>
          <w:sz w:val="24"/>
          <w:szCs w:val="24"/>
        </w:rPr>
        <w:t>政策发展机遇</w:t>
      </w:r>
      <w:bookmarkEnd w:id="55"/>
    </w:p>
    <w:p w:rsidR="00F01993" w:rsidRDefault="00F01993" w:rsidP="00F01993">
      <w:pPr>
        <w:ind w:firstLineChars="200" w:firstLine="480"/>
        <w:rPr>
          <w:rFonts w:ascii="宋体" w:eastAsia="宋体" w:hAnsi="宋体"/>
          <w:sz w:val="24"/>
          <w:szCs w:val="24"/>
        </w:rPr>
      </w:pPr>
      <w:r>
        <w:rPr>
          <w:rFonts w:ascii="宋体" w:eastAsia="宋体" w:hAnsi="宋体" w:hint="eastAsia"/>
          <w:sz w:val="24"/>
          <w:szCs w:val="24"/>
        </w:rPr>
        <w:t>一是国家把生物医药产业作为国民经济支柱产业加以培育，为生物医药产业发展提供了强有力的政策支撑。二是福建省委、省政府高度重视生物与新医药产业发展，大力扶持和发展生物医药等重点产业，在资金、政策、要素保障等方面给予倾斜支持，同时高效整合招商引资资源要素，着力推进重大项目落地。三是福州市已制定较完善产业培育政策，出台文件为生物医药产业发展明确了新定位，赋予了新使命，提出了新要求，为产业发展和招商引资提供了政策性机遇。</w:t>
      </w:r>
    </w:p>
    <w:p w:rsidR="00F01993" w:rsidRDefault="00F01993" w:rsidP="00F01993">
      <w:pPr>
        <w:rPr>
          <w:rFonts w:ascii="宋体" w:eastAsia="宋体" w:hAnsi="宋体"/>
          <w:sz w:val="24"/>
          <w:szCs w:val="24"/>
        </w:rPr>
      </w:pPr>
    </w:p>
    <w:p w:rsidR="00F01993" w:rsidRDefault="00F01993" w:rsidP="00F01993">
      <w:pPr>
        <w:outlineLvl w:val="2"/>
        <w:rPr>
          <w:rFonts w:ascii="宋体" w:eastAsia="宋体" w:hAnsi="宋体"/>
          <w:b/>
          <w:bCs/>
          <w:sz w:val="24"/>
          <w:szCs w:val="24"/>
        </w:rPr>
      </w:pPr>
      <w:bookmarkStart w:id="56" w:name="_Toc16814"/>
      <w:r>
        <w:rPr>
          <w:rFonts w:ascii="宋体" w:eastAsia="宋体" w:hAnsi="宋体" w:hint="eastAsia"/>
          <w:b/>
          <w:bCs/>
          <w:sz w:val="24"/>
          <w:szCs w:val="24"/>
        </w:rPr>
        <w:t>3.2.2</w:t>
      </w:r>
      <w:r>
        <w:rPr>
          <w:rFonts w:ascii="宋体" w:eastAsia="宋体" w:hAnsi="宋体"/>
          <w:b/>
          <w:bCs/>
          <w:sz w:val="24"/>
          <w:szCs w:val="24"/>
        </w:rPr>
        <w:t>市场环境机遇</w:t>
      </w:r>
      <w:bookmarkEnd w:id="56"/>
    </w:p>
    <w:p w:rsidR="00F01993" w:rsidRDefault="00F01993" w:rsidP="00F01993">
      <w:pPr>
        <w:ind w:firstLineChars="200" w:firstLine="480"/>
        <w:rPr>
          <w:rFonts w:ascii="宋体" w:eastAsia="宋体" w:hAnsi="宋体"/>
          <w:sz w:val="24"/>
          <w:szCs w:val="24"/>
        </w:rPr>
      </w:pPr>
      <w:r>
        <w:rPr>
          <w:rFonts w:ascii="宋体" w:eastAsia="宋体" w:hAnsi="宋体" w:hint="eastAsia"/>
          <w:sz w:val="24"/>
          <w:szCs w:val="24"/>
        </w:rPr>
        <w:t>一是全球医药制造与市场向中国等新兴国家转移。中国等亚洲地区国家的药品专利制度逐步完善，凭借劳动力成本优势和固有成本优势，全球医药</w:t>
      </w:r>
      <w:r>
        <w:rPr>
          <w:rFonts w:ascii="宋体" w:eastAsia="宋体" w:hAnsi="宋体"/>
          <w:sz w:val="24"/>
          <w:szCs w:val="24"/>
        </w:rPr>
        <w:t>CMO市场正持续从西方成熟市场转移至亚洲新兴市场。同时，全球医药消费市场增长重心也从欧美等主流市场向新兴国家转移。二是国内市场需求快速增长。随着我国国民健康及预防保护意识不断增强、城乡居民可支配收入增加、全面放开二胎政策、医保广覆盖及标准提高、疾病谱变化等众多因素的共同作用，我国医药市场将继</w:t>
      </w:r>
      <w:r>
        <w:rPr>
          <w:rFonts w:ascii="宋体" w:eastAsia="宋体" w:hAnsi="宋体"/>
          <w:sz w:val="24"/>
          <w:szCs w:val="24"/>
        </w:rPr>
        <w:lastRenderedPageBreak/>
        <w:t>续保持较快增长势头。</w:t>
      </w:r>
    </w:p>
    <w:p w:rsidR="00F01993" w:rsidRDefault="00F01993" w:rsidP="00F01993">
      <w:pPr>
        <w:ind w:firstLineChars="200" w:firstLine="482"/>
        <w:rPr>
          <w:rFonts w:ascii="宋体" w:eastAsia="宋体" w:hAnsi="宋体"/>
          <w:b/>
          <w:bCs/>
          <w:sz w:val="24"/>
          <w:szCs w:val="24"/>
        </w:rPr>
      </w:pPr>
    </w:p>
    <w:p w:rsidR="00F01993" w:rsidRDefault="00F01993" w:rsidP="00F01993">
      <w:pPr>
        <w:outlineLvl w:val="2"/>
        <w:rPr>
          <w:rFonts w:ascii="宋体" w:eastAsia="宋体" w:hAnsi="宋体"/>
          <w:b/>
          <w:bCs/>
          <w:sz w:val="24"/>
          <w:szCs w:val="24"/>
        </w:rPr>
      </w:pPr>
      <w:bookmarkStart w:id="57" w:name="_Toc23986"/>
      <w:r>
        <w:rPr>
          <w:rFonts w:ascii="宋体" w:eastAsia="宋体" w:hAnsi="宋体" w:hint="eastAsia"/>
          <w:b/>
          <w:bCs/>
          <w:sz w:val="24"/>
          <w:szCs w:val="24"/>
        </w:rPr>
        <w:t>3.2.3</w:t>
      </w:r>
      <w:r>
        <w:rPr>
          <w:rFonts w:ascii="宋体" w:eastAsia="宋体" w:hAnsi="宋体"/>
          <w:b/>
          <w:bCs/>
          <w:sz w:val="24"/>
          <w:szCs w:val="24"/>
        </w:rPr>
        <w:t>技术资本机遇</w:t>
      </w:r>
      <w:bookmarkEnd w:id="57"/>
    </w:p>
    <w:p w:rsidR="00F01993" w:rsidRDefault="00F01993" w:rsidP="00F01993">
      <w:pPr>
        <w:ind w:firstLineChars="200" w:firstLine="480"/>
        <w:rPr>
          <w:rFonts w:ascii="宋体" w:eastAsia="宋体" w:hAnsi="宋体"/>
          <w:sz w:val="24"/>
          <w:szCs w:val="24"/>
        </w:rPr>
      </w:pPr>
      <w:r>
        <w:rPr>
          <w:rFonts w:ascii="宋体" w:eastAsia="宋体" w:hAnsi="宋体" w:hint="eastAsia"/>
          <w:sz w:val="24"/>
          <w:szCs w:val="24"/>
        </w:rPr>
        <w:t>一是技术发展为产业升级注入了新动力。二是创新模式加速产业发展。三是大量社会资本带来新发展机遇。</w:t>
      </w:r>
    </w:p>
    <w:p w:rsidR="00F01993" w:rsidRDefault="00F01993" w:rsidP="00F01993">
      <w:pPr>
        <w:ind w:firstLineChars="200" w:firstLine="420"/>
        <w:rPr>
          <w:rFonts w:ascii="宋体" w:eastAsia="宋体" w:hAnsi="宋体"/>
        </w:rPr>
      </w:pPr>
    </w:p>
    <w:p w:rsidR="00F01993" w:rsidRDefault="00F01993" w:rsidP="002C1598">
      <w:pPr>
        <w:pStyle w:val="1"/>
        <w:rPr>
          <w:rFonts w:ascii="宋体" w:hAnsi="宋体"/>
          <w:sz w:val="32"/>
        </w:rPr>
      </w:pPr>
      <w:bookmarkStart w:id="58" w:name="_Toc6735"/>
      <w:bookmarkStart w:id="59" w:name="_Toc22156"/>
      <w:bookmarkStart w:id="60" w:name="_Toc7734"/>
      <w:bookmarkStart w:id="61" w:name="_Toc30046"/>
      <w:bookmarkStart w:id="62" w:name="_Toc4676"/>
      <w:bookmarkStart w:id="63" w:name="_Toc13638"/>
      <w:bookmarkStart w:id="64" w:name="_Toc25924"/>
      <w:bookmarkStart w:id="65" w:name="_Toc21015"/>
      <w:bookmarkStart w:id="66" w:name="_Toc1743"/>
      <w:bookmarkStart w:id="67" w:name="_Toc25162"/>
      <w:bookmarkStart w:id="68" w:name="_Toc27045"/>
      <w:bookmarkStart w:id="69" w:name="_Toc2327"/>
      <w:bookmarkStart w:id="70" w:name="_Toc933"/>
      <w:bookmarkStart w:id="71" w:name="_Toc56106232"/>
      <w:r>
        <w:rPr>
          <w:rFonts w:ascii="宋体" w:hAnsi="宋体" w:hint="eastAsia"/>
          <w:sz w:val="32"/>
        </w:rPr>
        <w:t>4.</w:t>
      </w:r>
      <w:r>
        <w:rPr>
          <w:rFonts w:ascii="宋体" w:hAnsi="宋体"/>
          <w:sz w:val="32"/>
        </w:rPr>
        <w:t>现阶段福州发展生物医药面临的挑战</w:t>
      </w:r>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在思政团队和福州市政府相关负责人座谈以及与海王新药的康心汕博士交流的过程中，我们发现，福州市仓山区乃至整个福州的生物医药发展还是面临众多的挑战。我们主要从两方面入手分析：一方面是位于福州仓山整体面临的挑战；另一方面，是我们所参访的康心汕博士的海西新药作为一家公司所面临的问题。而这些问题代表着一家典型的生物制药公司所面临的挑战，也是一个地区生物医药行业发展面临的挑战。</w:t>
      </w:r>
    </w:p>
    <w:p w:rsidR="00F01993" w:rsidRDefault="00F01993" w:rsidP="00F01993">
      <w:pPr>
        <w:ind w:firstLineChars="200" w:firstLine="480"/>
        <w:rPr>
          <w:rFonts w:ascii="宋体" w:eastAsia="宋体" w:hAnsi="宋体"/>
          <w:sz w:val="24"/>
          <w:szCs w:val="28"/>
        </w:rPr>
      </w:pPr>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第一，福州仓山的生物医药发展尚且不成熟在研发上下游困难重重。康博士的海西新药是一家研发公司，主要工作是确定靶点、设计新药、临床试验，而对于新药研发之后如何批量生产，再如何分销的环节则并不在行。他们虽然曾与厂商合作，但因信任问题很难达成共识，上下游产业无摩擦的衔接还未形成。</w:t>
      </w:r>
    </w:p>
    <w:p w:rsidR="00F01993" w:rsidRDefault="00F01993" w:rsidP="00F01993">
      <w:pPr>
        <w:ind w:firstLineChars="200" w:firstLine="480"/>
        <w:rPr>
          <w:rFonts w:ascii="宋体" w:eastAsia="宋体" w:hAnsi="宋体"/>
          <w:sz w:val="24"/>
          <w:szCs w:val="28"/>
        </w:rPr>
      </w:pPr>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第二，仓山区，乃至整个福州市，可供引进的生物医药方面的人才十分有限。一来福建省内部，包括福州市，都缺乏较好的高等学府，尤其是生物医药方面的学府，本地培养的人才不足以满足生物制药的需求。二来生物制药在上海、苏州等地已成规模，更多的医药方面人才会选择这些地方而非福州。于是福州本地的生物医药人才才形成难以获得的局面。</w:t>
      </w:r>
    </w:p>
    <w:p w:rsidR="00F01993" w:rsidRDefault="00F01993" w:rsidP="00F01993">
      <w:pPr>
        <w:ind w:firstLineChars="200" w:firstLine="480"/>
        <w:rPr>
          <w:rFonts w:ascii="宋体" w:eastAsia="宋体" w:hAnsi="宋体"/>
          <w:sz w:val="24"/>
          <w:szCs w:val="28"/>
        </w:rPr>
      </w:pPr>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第三，生物医药很难得到足够的资金，以完成这个产业的整个投入－产出循环。这是由生物制药本身的特点所决定的。生物制药是一个商业周期很长的产业，前期所需的投入很大，研发能产出成果的不确定性大，风险高，相较之下，研发出新药之后的利润在投资者眼中则失去了吸引力。投资者因此作出减少在生物制药方面的投资决策，为公司造成了资金方面的困难。</w:t>
      </w:r>
    </w:p>
    <w:p w:rsidR="00F01993" w:rsidRDefault="00F01993" w:rsidP="00F01993">
      <w:pPr>
        <w:ind w:firstLineChars="200" w:firstLine="480"/>
        <w:rPr>
          <w:rFonts w:ascii="宋体" w:eastAsia="宋体" w:hAnsi="宋体"/>
          <w:sz w:val="24"/>
          <w:szCs w:val="28"/>
        </w:rPr>
      </w:pPr>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第四，生物医药不同于一般的行业，会更多地涉及经济利益与伦理的冲突。在已经接近完全竞争的市场上，所开发的新药只能占到的市场十分有限。所以对于大公司来说，一些预期赚不到大钱的新药会被暂时压制不进行生产销售。尽管这些新药或许具有部分已有的替代品，替代品已经能够医治大部分病症，但多一种新药就会多拯救一批患者。随着医药研发和专利问题逐渐被人们所了解，其后的伦理道德问题也逐渐展现出来。</w:t>
      </w:r>
    </w:p>
    <w:p w:rsidR="00F01993" w:rsidRDefault="00F01993" w:rsidP="00F01993">
      <w:pPr>
        <w:ind w:firstLineChars="200" w:firstLine="420"/>
        <w:rPr>
          <w:rFonts w:ascii="宋体" w:eastAsia="宋体" w:hAnsi="宋体"/>
        </w:rPr>
      </w:pPr>
    </w:p>
    <w:p w:rsidR="00F01993" w:rsidRPr="008420DF" w:rsidRDefault="00F01993" w:rsidP="002C1598">
      <w:pPr>
        <w:pStyle w:val="1"/>
        <w:rPr>
          <w:rFonts w:ascii="宋体" w:eastAsia="宋体" w:hAnsi="宋体"/>
          <w:kern w:val="2"/>
          <w:sz w:val="32"/>
          <w:szCs w:val="32"/>
        </w:rPr>
      </w:pPr>
      <w:bookmarkStart w:id="72" w:name="_Toc9663"/>
      <w:bookmarkStart w:id="73" w:name="_Toc29867"/>
      <w:bookmarkStart w:id="74" w:name="_Toc5108"/>
      <w:bookmarkStart w:id="75" w:name="_Toc25925"/>
      <w:bookmarkStart w:id="76" w:name="_Toc4578"/>
      <w:bookmarkStart w:id="77" w:name="_Toc29375"/>
      <w:bookmarkStart w:id="78" w:name="_Toc14714"/>
      <w:bookmarkStart w:id="79" w:name="_Toc22500"/>
      <w:bookmarkStart w:id="80" w:name="_Toc17308"/>
      <w:bookmarkStart w:id="81" w:name="_Toc4795"/>
      <w:bookmarkStart w:id="82" w:name="_Toc8729"/>
      <w:bookmarkStart w:id="83" w:name="_Toc19519"/>
      <w:bookmarkStart w:id="84" w:name="_Toc27817"/>
      <w:bookmarkStart w:id="85" w:name="_Toc56106233"/>
      <w:r w:rsidRPr="008420DF">
        <w:rPr>
          <w:rFonts w:ascii="宋体" w:eastAsia="宋体" w:hAnsi="宋体" w:hint="eastAsia"/>
          <w:kern w:val="2"/>
          <w:sz w:val="32"/>
          <w:szCs w:val="32"/>
        </w:rPr>
        <w:lastRenderedPageBreak/>
        <w:t>5.</w:t>
      </w:r>
      <w:r w:rsidRPr="008420DF">
        <w:rPr>
          <w:rFonts w:ascii="宋体" w:eastAsia="宋体" w:hAnsi="宋体"/>
          <w:kern w:val="2"/>
          <w:sz w:val="32"/>
          <w:szCs w:val="32"/>
        </w:rPr>
        <w:t>建议与思考</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在考察完福州生物医药产业发展的历史、优势与挑战之后，我们想针对人才与创新发展、资金与产业政策这两个方面谈谈自己的建议与思考。</w:t>
      </w:r>
    </w:p>
    <w:p w:rsidR="00F01993" w:rsidRDefault="00F01993" w:rsidP="00F01993">
      <w:pPr>
        <w:ind w:firstLineChars="200" w:firstLine="480"/>
        <w:rPr>
          <w:rFonts w:ascii="宋体" w:eastAsia="宋体" w:hAnsi="宋体"/>
          <w:sz w:val="24"/>
          <w:szCs w:val="28"/>
        </w:rPr>
      </w:pPr>
    </w:p>
    <w:p w:rsidR="00F01993" w:rsidRDefault="00F01993" w:rsidP="00F01993">
      <w:pPr>
        <w:ind w:firstLine="420"/>
        <w:rPr>
          <w:rFonts w:ascii="宋体" w:eastAsia="宋体" w:hAnsi="宋体"/>
          <w:sz w:val="24"/>
          <w:szCs w:val="28"/>
        </w:rPr>
      </w:pPr>
      <w:r>
        <w:rPr>
          <w:rFonts w:ascii="宋体" w:eastAsia="宋体" w:hAnsi="宋体" w:hint="eastAsia"/>
          <w:sz w:val="24"/>
          <w:szCs w:val="28"/>
        </w:rPr>
        <w:t>“功以才成，业由才广。谁拥有一流的创新人才，谁就拥有了科技创新的优势和主导权。引进一批人才，有时就能盘活一个企业，甚至撬动一个产业。“</w:t>
      </w:r>
      <w:r>
        <w:rPr>
          <w:rStyle w:val="a5"/>
          <w:rFonts w:ascii="宋体" w:eastAsia="宋体" w:hAnsi="宋体"/>
          <w:sz w:val="24"/>
          <w:szCs w:val="28"/>
        </w:rPr>
        <w:footnoteReference w:id="1"/>
      </w:r>
      <w:r>
        <w:rPr>
          <w:rFonts w:ascii="宋体" w:eastAsia="宋体" w:hAnsi="宋体" w:hint="eastAsia"/>
          <w:sz w:val="24"/>
          <w:szCs w:val="28"/>
        </w:rPr>
        <w:t>可以说，解决人才问题是福州市生物医药产业提升创新能力的关键。</w:t>
      </w:r>
    </w:p>
    <w:p w:rsidR="00F01993" w:rsidRDefault="00F01993" w:rsidP="00F01993">
      <w:pPr>
        <w:ind w:firstLine="420"/>
        <w:rPr>
          <w:rFonts w:ascii="宋体" w:eastAsia="宋体" w:hAnsi="宋体"/>
          <w:sz w:val="24"/>
          <w:szCs w:val="28"/>
        </w:rPr>
      </w:pPr>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“创新驱动实质上是人才驱动。要用好科学家、科技人员、企业家，激发他们的创新激情。要学会招商引资、招人聚才并举，择天下英才而用之，广泛吸引各类创新人才特别是最缺的人才。”</w:t>
      </w:r>
      <w:r>
        <w:rPr>
          <w:rStyle w:val="a5"/>
          <w:rFonts w:ascii="宋体" w:eastAsia="宋体" w:hAnsi="宋体"/>
          <w:sz w:val="24"/>
          <w:szCs w:val="28"/>
        </w:rPr>
        <w:footnoteReference w:id="2"/>
      </w:r>
      <w:r>
        <w:rPr>
          <w:rFonts w:ascii="宋体" w:eastAsia="宋体" w:hAnsi="宋体" w:hint="eastAsia"/>
          <w:sz w:val="24"/>
          <w:szCs w:val="28"/>
        </w:rPr>
        <w:t>具体到福州市发展生物医药产业的实践中，建议进一步加大引进相关人才的力度，在改善待遇的同时提升优惠政策的精确性；立足实际，唯才是举，破除“唯名校论”和“唯学历论”，在一线大城市给出高待遇争夺名校高学历人才时，避其锋芒，善于从其他高校发掘人才；立足地缘优势，积极引进东南地区人才；长远来看，要增强省内高校培育自主创新人才的能力，建议优化引进基础研究人才与技术创新人才的结构，通过引进基础研究人才，增强科研实力，实现省内技术创新人才的初步培育。</w:t>
      </w:r>
    </w:p>
    <w:p w:rsidR="00F01993" w:rsidRDefault="00F01993" w:rsidP="00F01993">
      <w:pPr>
        <w:ind w:firstLineChars="200" w:firstLine="480"/>
        <w:rPr>
          <w:rFonts w:ascii="宋体" w:eastAsia="宋体" w:hAnsi="宋体"/>
          <w:sz w:val="24"/>
          <w:szCs w:val="28"/>
        </w:rPr>
      </w:pPr>
    </w:p>
    <w:p w:rsidR="00F01993" w:rsidRDefault="00F01993" w:rsidP="00F01993">
      <w:pPr>
        <w:ind w:firstLineChars="200" w:firstLine="480"/>
        <w:rPr>
          <w:rFonts w:ascii="宋体" w:eastAsia="宋体" w:hAnsi="宋体"/>
          <w:sz w:val="24"/>
          <w:szCs w:val="28"/>
        </w:rPr>
      </w:pPr>
      <w:r>
        <w:rPr>
          <w:rFonts w:ascii="宋体" w:eastAsia="宋体" w:hAnsi="宋体" w:hint="eastAsia"/>
          <w:sz w:val="24"/>
          <w:szCs w:val="28"/>
        </w:rPr>
        <w:t>生物医药产业具有周期长，投入大，风险高的特点。在前期启动阶段，一方面各方面投入较大，资金需求量大，而另一方面企业盈利预期尚不明朗，愿意投资的社会资本较少，因此往往需要政府的产业政策加以扶持。就福州市实践状况看，政府能够利用多种手段实现产业扶持政策，例如税收减免、地租减免或购地优惠、贷款优惠、资质审核便利、引进人才、搭建信息平台乃至最直接的注资。同时政府在提供优惠政策的同时，也可能和企业签订“对赌协议”，对企业未来的盈利、产品、吸纳就业等等指标提出要求。当然，过度或者偏颇的产业政策也会使得企业丧失竞争力，导致政府财政风险，甚至挤出有潜力的竞争企业。因此，建议政府实行普惠性产业政策，聚焦在基础设施、人才引进、搭建平台方面提供协助；在推行产业扶持政策的同时要注意防控财政风险；完善“对赌协议”等双向制约机制，防范资金流失。同时，医药企业也要提升自主盈利能力，避免过度依赖产业政策，在起步阶段做到仿制药和创新药并举，利用仿制药缓解短期资金困难；提高管理水平和资金利用率，才是长远来看，即使产业优惠政策取消，也能持续的发展之道。</w:t>
      </w:r>
    </w:p>
    <w:p w:rsidR="00F01993" w:rsidRDefault="00F01993" w:rsidP="00F01993">
      <w:pPr>
        <w:ind w:firstLineChars="200" w:firstLine="420"/>
        <w:rPr>
          <w:rFonts w:ascii="宋体" w:eastAsia="宋体" w:hAnsi="宋体"/>
        </w:rPr>
      </w:pPr>
    </w:p>
    <w:p w:rsidR="00F01993" w:rsidRDefault="00F01993" w:rsidP="002C1598">
      <w:pPr>
        <w:pStyle w:val="1"/>
        <w:rPr>
          <w:rFonts w:ascii="宋体" w:hAnsi="宋体"/>
          <w:sz w:val="32"/>
        </w:rPr>
      </w:pPr>
      <w:bookmarkStart w:id="86" w:name="_Toc1483"/>
      <w:bookmarkStart w:id="87" w:name="_Toc13716"/>
      <w:bookmarkStart w:id="88" w:name="_Toc23535"/>
      <w:bookmarkStart w:id="89" w:name="_Toc10634"/>
      <w:bookmarkStart w:id="90" w:name="_Toc25607"/>
      <w:bookmarkStart w:id="91" w:name="_Toc27514"/>
      <w:bookmarkStart w:id="92" w:name="_Toc26193"/>
      <w:bookmarkStart w:id="93" w:name="_Toc685"/>
      <w:bookmarkStart w:id="94" w:name="_Toc10978"/>
      <w:bookmarkStart w:id="95" w:name="_Toc15659"/>
      <w:bookmarkStart w:id="96" w:name="_Toc18995"/>
      <w:bookmarkStart w:id="97" w:name="_Toc12229"/>
      <w:bookmarkStart w:id="98" w:name="_Toc23996"/>
      <w:bookmarkStart w:id="99" w:name="_Toc56106234"/>
      <w:r>
        <w:rPr>
          <w:rFonts w:ascii="宋体" w:hAnsi="宋体" w:hint="eastAsia"/>
          <w:sz w:val="32"/>
        </w:rPr>
        <w:t>6.</w:t>
      </w:r>
      <w:r>
        <w:rPr>
          <w:rFonts w:ascii="宋体" w:hAnsi="宋体" w:hint="eastAsia"/>
          <w:sz w:val="32"/>
        </w:rPr>
        <w:t>小结</w:t>
      </w:r>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F01993" w:rsidRDefault="00F01993" w:rsidP="00F01993">
      <w:pPr>
        <w:ind w:firstLine="420"/>
        <w:rPr>
          <w:rFonts w:ascii="宋体" w:eastAsia="宋体" w:hAnsi="宋体"/>
          <w:sz w:val="24"/>
          <w:szCs w:val="24"/>
        </w:rPr>
      </w:pPr>
      <w:r>
        <w:rPr>
          <w:rFonts w:ascii="宋体" w:eastAsia="宋体" w:hAnsi="宋体" w:hint="eastAsia"/>
          <w:sz w:val="24"/>
          <w:szCs w:val="24"/>
        </w:rPr>
        <w:t>在本次实践活动中，调研团多角度、全方位地了解了福州市仓山区的经济发展情况，较为深入地思考了生物医药产业在福州发展的区位优势与挑战，也对我</w:t>
      </w:r>
      <w:r>
        <w:rPr>
          <w:rFonts w:ascii="宋体" w:eastAsia="宋体" w:hAnsi="宋体" w:hint="eastAsia"/>
          <w:sz w:val="24"/>
          <w:szCs w:val="24"/>
        </w:rPr>
        <w:lastRenderedPageBreak/>
        <w:t>国高新技术产业发展的战略有了更加深入的认识。本次实践活动开拓了我们的视野，给了我们一个将课本知识与社会实践紧密结合的机会，使我们有机会真正深入了解生物医药公司从制药到审批到发行药物的系统的管理方法。同时，在每日总结的过程中，我们也提高了沟通能力、表达能力、综合素质。</w:t>
      </w:r>
    </w:p>
    <w:p w:rsidR="00F01993" w:rsidRDefault="00F01993" w:rsidP="00F01993">
      <w:pPr>
        <w:ind w:firstLine="420"/>
        <w:rPr>
          <w:rFonts w:ascii="宋体" w:eastAsia="宋体" w:hAnsi="宋体"/>
          <w:sz w:val="24"/>
          <w:szCs w:val="24"/>
        </w:rPr>
      </w:pPr>
    </w:p>
    <w:p w:rsidR="00F01993" w:rsidRDefault="00F01993" w:rsidP="00F01993">
      <w:pPr>
        <w:ind w:firstLine="420"/>
        <w:rPr>
          <w:rFonts w:ascii="宋体" w:eastAsia="宋体" w:hAnsi="宋体"/>
          <w:sz w:val="24"/>
          <w:szCs w:val="24"/>
        </w:rPr>
      </w:pPr>
      <w:r>
        <w:rPr>
          <w:rFonts w:ascii="宋体" w:eastAsia="宋体" w:hAnsi="宋体" w:hint="eastAsia"/>
          <w:sz w:val="24"/>
          <w:szCs w:val="24"/>
        </w:rPr>
        <w:t>对于福州市仓山区的发展而言，本次实践活动也是具有一定意义的。在短短几天的参访调研中，虽然我们无法提出什么真知灼见，但我们仍然希望用我们所学给仓山区的发展道路上献出微薄之力。实践过程中</w:t>
      </w:r>
      <w:r>
        <w:rPr>
          <w:rFonts w:ascii="宋体" w:eastAsia="宋体" w:hAnsi="宋体"/>
          <w:sz w:val="24"/>
          <w:szCs w:val="24"/>
        </w:rPr>
        <w:t>，经济学院调研团与</w:t>
      </w:r>
      <w:r>
        <w:rPr>
          <w:rFonts w:ascii="宋体" w:eastAsia="宋体" w:hAnsi="宋体" w:hint="eastAsia"/>
          <w:sz w:val="24"/>
          <w:szCs w:val="24"/>
        </w:rPr>
        <w:t>仓山</w:t>
      </w:r>
      <w:r>
        <w:rPr>
          <w:rFonts w:ascii="宋体" w:eastAsia="宋体" w:hAnsi="宋体"/>
          <w:sz w:val="24"/>
          <w:szCs w:val="24"/>
        </w:rPr>
        <w:t>区签订了共建思政课实践教育基地协议，我们既在加深双方友谊的探索中做出了贡献，也成为了双方交流的受益者。</w:t>
      </w:r>
    </w:p>
    <w:p w:rsidR="00F01993" w:rsidRDefault="00F01993" w:rsidP="00F01993">
      <w:pPr>
        <w:ind w:firstLine="420"/>
        <w:rPr>
          <w:rFonts w:ascii="宋体" w:eastAsia="宋体" w:hAnsi="宋体"/>
          <w:sz w:val="24"/>
          <w:szCs w:val="24"/>
        </w:rPr>
      </w:pPr>
    </w:p>
    <w:p w:rsidR="00F01993" w:rsidRDefault="00F01993" w:rsidP="00F01993">
      <w:pPr>
        <w:ind w:firstLine="420"/>
        <w:rPr>
          <w:rFonts w:ascii="宋体" w:eastAsia="宋体" w:hAnsi="宋体"/>
          <w:sz w:val="24"/>
          <w:szCs w:val="24"/>
        </w:rPr>
      </w:pPr>
      <w:r>
        <w:rPr>
          <w:rFonts w:ascii="宋体" w:eastAsia="宋体" w:hAnsi="宋体" w:hint="eastAsia"/>
          <w:sz w:val="24"/>
          <w:szCs w:val="24"/>
        </w:rPr>
        <w:t>非常幸运能够参加这一次的思政实践活动，在领导与老师同学们的分享中更加了解福州这个充满无限发展潜力的城市的地方。福州生物医药的进一步发展任重而道远，但我们相信在国家与当地政府的规划与扶持下，生物医药产业可以找到新的突破点、增长点。</w:t>
      </w:r>
    </w:p>
    <w:p w:rsidR="00F01993" w:rsidRDefault="00F01993" w:rsidP="00F01993">
      <w:pPr>
        <w:ind w:firstLine="420"/>
        <w:rPr>
          <w:rFonts w:ascii="宋体" w:eastAsia="宋体" w:hAnsi="宋体"/>
          <w:sz w:val="24"/>
          <w:szCs w:val="24"/>
        </w:rPr>
      </w:pPr>
    </w:p>
    <w:p w:rsidR="00F01993" w:rsidRDefault="00F01993" w:rsidP="00F01993">
      <w:pPr>
        <w:ind w:firstLine="420"/>
        <w:rPr>
          <w:rFonts w:ascii="宋体" w:eastAsia="宋体" w:hAnsi="宋体"/>
          <w:sz w:val="24"/>
          <w:szCs w:val="24"/>
        </w:rPr>
      </w:pPr>
      <w:r>
        <w:rPr>
          <w:rFonts w:ascii="宋体" w:eastAsia="宋体" w:hAnsi="宋体" w:hint="eastAsia"/>
          <w:sz w:val="24"/>
          <w:szCs w:val="24"/>
        </w:rPr>
        <w:t>最后，我们想感谢福州市领导集体对本次社会实践的大力支持，感谢福州淳朴热情的人民对我们的款待，也感谢学校为我们提供的这次难得的实践机会，感谢老师们的陪伴、指导与帮助。这次社会实践，定将成为我们人生旅途中一段难忘的珍贵回忆。</w:t>
      </w:r>
    </w:p>
    <w:p w:rsidR="00F01993" w:rsidRDefault="00F01993" w:rsidP="00F01993">
      <w:pPr>
        <w:rPr>
          <w:rFonts w:ascii="宋体" w:eastAsia="宋体" w:hAnsi="宋体"/>
          <w:sz w:val="24"/>
          <w:szCs w:val="24"/>
        </w:rPr>
      </w:pPr>
    </w:p>
    <w:p w:rsidR="00F01993" w:rsidRDefault="00F01993" w:rsidP="00F01993">
      <w:pPr>
        <w:rPr>
          <w:rFonts w:ascii="宋体" w:eastAsia="宋体" w:hAnsi="宋体"/>
          <w:sz w:val="32"/>
          <w:szCs w:val="32"/>
        </w:rPr>
      </w:pPr>
    </w:p>
    <w:p w:rsidR="00F01993" w:rsidRDefault="00F01993" w:rsidP="00F01993">
      <w:pPr>
        <w:outlineLvl w:val="0"/>
        <w:rPr>
          <w:rFonts w:ascii="宋体" w:eastAsia="宋体" w:hAnsi="宋体"/>
          <w:b/>
          <w:bCs/>
          <w:sz w:val="32"/>
          <w:szCs w:val="32"/>
        </w:rPr>
      </w:pPr>
      <w:bookmarkStart w:id="100" w:name="_Toc23021"/>
      <w:bookmarkStart w:id="101" w:name="_Toc24955"/>
      <w:bookmarkStart w:id="102" w:name="_Toc1611"/>
      <w:bookmarkStart w:id="103" w:name="_Toc27955"/>
      <w:bookmarkStart w:id="104" w:name="_Toc8051"/>
      <w:bookmarkStart w:id="105" w:name="_Toc6334"/>
      <w:bookmarkStart w:id="106" w:name="_Toc20234"/>
      <w:bookmarkStart w:id="107" w:name="_Toc18631"/>
      <w:bookmarkStart w:id="108" w:name="_Toc25742"/>
      <w:bookmarkStart w:id="109" w:name="_Toc13603"/>
      <w:bookmarkStart w:id="110" w:name="_Toc19499"/>
      <w:bookmarkStart w:id="111" w:name="_Toc6723"/>
      <w:bookmarkStart w:id="112" w:name="_Toc13294"/>
      <w:bookmarkStart w:id="113" w:name="_Toc56106235"/>
      <w:r>
        <w:rPr>
          <w:rFonts w:ascii="宋体" w:eastAsia="宋体" w:hAnsi="宋体" w:hint="eastAsia"/>
          <w:b/>
          <w:bCs/>
          <w:sz w:val="32"/>
          <w:szCs w:val="32"/>
        </w:rPr>
        <w:t>7.参考文献</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F01993" w:rsidRDefault="00F01993" w:rsidP="00F01993">
      <w:pPr>
        <w:rPr>
          <w:rFonts w:ascii="宋体" w:eastAsia="宋体" w:hAnsi="宋体"/>
          <w:szCs w:val="21"/>
        </w:rPr>
      </w:pPr>
      <w:r>
        <w:rPr>
          <w:rFonts w:ascii="宋体" w:eastAsia="宋体" w:hAnsi="宋体" w:hint="eastAsia"/>
          <w:szCs w:val="21"/>
        </w:rPr>
        <w:t>[</w:t>
      </w:r>
      <w:r>
        <w:rPr>
          <w:rFonts w:ascii="宋体" w:eastAsia="宋体" w:hAnsi="宋体"/>
          <w:szCs w:val="21"/>
        </w:rPr>
        <w:t>1] 林秀俊.加快福州生物医药产业发展的思考[J].福州党校学报</w:t>
      </w:r>
      <w:r>
        <w:rPr>
          <w:rFonts w:ascii="宋体" w:eastAsia="宋体" w:hAnsi="宋体" w:hint="eastAsia"/>
          <w:szCs w:val="21"/>
        </w:rPr>
        <w:t>，</w:t>
      </w:r>
      <w:r>
        <w:rPr>
          <w:rFonts w:ascii="宋体" w:eastAsia="宋体" w:hAnsi="宋体"/>
          <w:szCs w:val="21"/>
        </w:rPr>
        <w:t xml:space="preserve"> 2010, 000(005):63-65.</w:t>
      </w:r>
    </w:p>
    <w:p w:rsidR="00F01993" w:rsidRDefault="00F01993" w:rsidP="00F01993">
      <w:pPr>
        <w:rPr>
          <w:rFonts w:ascii="宋体" w:eastAsia="宋体" w:hAnsi="宋体"/>
          <w:szCs w:val="21"/>
        </w:rPr>
      </w:pPr>
      <w:r>
        <w:rPr>
          <w:rFonts w:ascii="宋体" w:eastAsia="宋体" w:hAnsi="宋体" w:hint="eastAsia"/>
          <w:szCs w:val="21"/>
        </w:rPr>
        <w:t>[</w:t>
      </w:r>
      <w:r>
        <w:rPr>
          <w:rFonts w:ascii="宋体" w:eastAsia="宋体" w:hAnsi="宋体"/>
          <w:szCs w:val="21"/>
        </w:rPr>
        <w:t>2]林瑾文</w:t>
      </w:r>
      <w:r>
        <w:rPr>
          <w:rFonts w:ascii="宋体" w:eastAsia="宋体" w:hAnsi="宋体" w:hint="eastAsia"/>
          <w:szCs w:val="21"/>
        </w:rPr>
        <w:t>，</w:t>
      </w:r>
      <w:r>
        <w:rPr>
          <w:rFonts w:ascii="宋体" w:eastAsia="宋体" w:hAnsi="宋体"/>
          <w:szCs w:val="21"/>
        </w:rPr>
        <w:t>罗格莲</w:t>
      </w:r>
      <w:r>
        <w:rPr>
          <w:rFonts w:ascii="宋体" w:eastAsia="宋体" w:hAnsi="宋体" w:hint="eastAsia"/>
          <w:szCs w:val="21"/>
        </w:rPr>
        <w:t>，</w:t>
      </w:r>
      <w:r>
        <w:rPr>
          <w:rFonts w:ascii="宋体" w:eastAsia="宋体" w:hAnsi="宋体"/>
          <w:szCs w:val="21"/>
        </w:rPr>
        <w:t>郑孝勇.福建省制药企业的发展现状及对策探讨[J].中国药房</w:t>
      </w:r>
      <w:r>
        <w:rPr>
          <w:rFonts w:ascii="宋体" w:eastAsia="宋体" w:hAnsi="宋体" w:hint="eastAsia"/>
          <w:szCs w:val="21"/>
        </w:rPr>
        <w:t>，</w:t>
      </w:r>
      <w:r>
        <w:rPr>
          <w:rFonts w:ascii="宋体" w:eastAsia="宋体" w:hAnsi="宋体"/>
          <w:szCs w:val="21"/>
        </w:rPr>
        <w:t>2016,27(28):3892-3895.</w:t>
      </w:r>
    </w:p>
    <w:p w:rsidR="008666A7" w:rsidRPr="002C1598" w:rsidRDefault="00F01993" w:rsidP="002C1598">
      <w:pPr>
        <w:rPr>
          <w:rFonts w:ascii="宋体" w:eastAsia="宋体" w:hAnsi="宋体" w:hint="eastAsia"/>
          <w:szCs w:val="21"/>
        </w:rPr>
      </w:pPr>
      <w:r>
        <w:rPr>
          <w:rFonts w:ascii="宋体" w:eastAsia="宋体" w:hAnsi="宋体"/>
          <w:szCs w:val="21"/>
        </w:rPr>
        <w:t>[3]罗臻</w:t>
      </w:r>
      <w:r>
        <w:rPr>
          <w:rFonts w:ascii="宋体" w:eastAsia="宋体" w:hAnsi="宋体" w:hint="eastAsia"/>
          <w:szCs w:val="21"/>
        </w:rPr>
        <w:t>，</w:t>
      </w:r>
      <w:r>
        <w:rPr>
          <w:rFonts w:ascii="宋体" w:eastAsia="宋体" w:hAnsi="宋体"/>
          <w:szCs w:val="21"/>
        </w:rPr>
        <w:t>杨建瑜.论中小型制药企业核心竞争力的培育[J].中国药房</w:t>
      </w:r>
      <w:r>
        <w:rPr>
          <w:rFonts w:ascii="宋体" w:eastAsia="宋体" w:hAnsi="宋体" w:hint="eastAsia"/>
          <w:szCs w:val="21"/>
        </w:rPr>
        <w:t>，</w:t>
      </w:r>
      <w:r>
        <w:rPr>
          <w:rFonts w:ascii="宋体" w:eastAsia="宋体" w:hAnsi="宋体"/>
          <w:szCs w:val="21"/>
        </w:rPr>
        <w:t>2006,17(15):1 127.</w:t>
      </w:r>
    </w:p>
    <w:sectPr w:rsidR="008666A7" w:rsidRPr="002C159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224F" w:rsidRDefault="0064224F" w:rsidP="00F01993">
      <w:r>
        <w:separator/>
      </w:r>
    </w:p>
  </w:endnote>
  <w:endnote w:type="continuationSeparator" w:id="0">
    <w:p w:rsidR="0064224F" w:rsidRDefault="0064224F" w:rsidP="00F0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altName w:val="微软雅黑"/>
    <w:panose1 w:val="020B0604020202020204"/>
    <w:charset w:val="86"/>
    <w:family w:val="modern"/>
    <w:pitch w:val="fixed"/>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689951478"/>
      <w:docPartObj>
        <w:docPartGallery w:val="Page Numbers (Bottom of Page)"/>
        <w:docPartUnique/>
      </w:docPartObj>
    </w:sdtPr>
    <w:sdtContent>
      <w:p w:rsidR="00630967" w:rsidRDefault="00630967" w:rsidP="00156251">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rsidR="00630967" w:rsidRDefault="00630967" w:rsidP="0063096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8"/>
      </w:rPr>
      <w:id w:val="-1879693524"/>
      <w:docPartObj>
        <w:docPartGallery w:val="Page Numbers (Bottom of Page)"/>
        <w:docPartUnique/>
      </w:docPartObj>
    </w:sdtPr>
    <w:sdtContent>
      <w:p w:rsidR="00630967" w:rsidRDefault="00630967" w:rsidP="00156251">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630967" w:rsidRDefault="00630967" w:rsidP="00630967">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224F" w:rsidRDefault="0064224F" w:rsidP="00F01993">
      <w:r>
        <w:separator/>
      </w:r>
    </w:p>
  </w:footnote>
  <w:footnote w:type="continuationSeparator" w:id="0">
    <w:p w:rsidR="0064224F" w:rsidRDefault="0064224F" w:rsidP="00F01993">
      <w:r>
        <w:continuationSeparator/>
      </w:r>
    </w:p>
  </w:footnote>
  <w:footnote w:id="1">
    <w:p w:rsidR="00F01993" w:rsidRDefault="00F01993" w:rsidP="00F01993">
      <w:pPr>
        <w:pStyle w:val="a3"/>
      </w:pPr>
      <w:r>
        <w:rPr>
          <w:rStyle w:val="a5"/>
        </w:rPr>
        <w:footnoteRef/>
      </w:r>
      <w:r>
        <w:t xml:space="preserve"> 2015年3月5日，习近平在参加十二届全国人大三次会议上海代表团审议时的讲话</w:t>
      </w:r>
    </w:p>
  </w:footnote>
  <w:footnote w:id="2">
    <w:p w:rsidR="00F01993" w:rsidRDefault="00F01993" w:rsidP="00F01993">
      <w:pPr>
        <w:pStyle w:val="a3"/>
      </w:pPr>
      <w:r>
        <w:rPr>
          <w:rStyle w:val="a5"/>
        </w:rPr>
        <w:footnoteRef/>
      </w:r>
      <w:r>
        <w:t xml:space="preserve"> 2014年8月18日</w:t>
      </w:r>
      <w:r>
        <w:rPr>
          <w:rFonts w:hint="eastAsia"/>
        </w:rPr>
        <w:t>习近平在</w:t>
      </w:r>
      <w:r>
        <w:t>中央财经领导小组第七次会议</w:t>
      </w:r>
      <w:r>
        <w:rPr>
          <w:rFonts w:hint="eastAsia"/>
        </w:rPr>
        <w:t>的</w:t>
      </w:r>
      <w:r>
        <w:t>重要讲话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93"/>
    <w:rsid w:val="002C1598"/>
    <w:rsid w:val="00436E35"/>
    <w:rsid w:val="00630967"/>
    <w:rsid w:val="0064224F"/>
    <w:rsid w:val="008420DF"/>
    <w:rsid w:val="008666A7"/>
    <w:rsid w:val="00B01F6E"/>
    <w:rsid w:val="00F01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B4261"/>
  <w15:chartTrackingRefBased/>
  <w15:docId w15:val="{808AF662-F212-4519-8B2E-BBDF669E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仿宋_GB2312" w:hAnsi="Times New Roman" w:cstheme="minorBidi"/>
        <w:color w:val="000000" w:themeColor="text1"/>
        <w:kern w:val="2"/>
        <w:sz w:val="24"/>
        <w:szCs w:val="24"/>
        <w:lang w:val="en-US" w:eastAsia="zh-CN"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993"/>
    <w:pPr>
      <w:widowControl w:val="0"/>
      <w:jc w:val="both"/>
    </w:pPr>
    <w:rPr>
      <w:rFonts w:asciiTheme="minorHAnsi" w:eastAsiaTheme="minorEastAsia" w:hAnsiTheme="minorHAnsi"/>
      <w:color w:val="auto"/>
      <w:sz w:val="21"/>
      <w:szCs w:val="22"/>
    </w:rPr>
  </w:style>
  <w:style w:type="paragraph" w:styleId="1">
    <w:name w:val="heading 1"/>
    <w:basedOn w:val="a"/>
    <w:next w:val="a"/>
    <w:link w:val="10"/>
    <w:uiPriority w:val="9"/>
    <w:qFormat/>
    <w:rsid w:val="002C1598"/>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01993"/>
    <w:pPr>
      <w:keepNext/>
      <w:keepLines/>
      <w:outlineLvl w:val="1"/>
    </w:pPr>
    <w:rPr>
      <w:rFonts w:asciiTheme="majorHAnsi" w:eastAsia="宋体" w:hAnsiTheme="majorHAnsi" w:cstheme="majorBidi"/>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qFormat/>
    <w:rsid w:val="00F01993"/>
    <w:pPr>
      <w:ind w:left="210"/>
      <w:jc w:val="left"/>
    </w:pPr>
    <w:rPr>
      <w:rFonts w:eastAsiaTheme="minorHAnsi"/>
      <w:smallCaps/>
      <w:sz w:val="20"/>
      <w:szCs w:val="20"/>
    </w:rPr>
  </w:style>
  <w:style w:type="paragraph" w:customStyle="1" w:styleId="WPSOffice1">
    <w:name w:val="WPSOffice手动目录 1"/>
    <w:qFormat/>
    <w:rsid w:val="00F01993"/>
    <w:pPr>
      <w:jc w:val="left"/>
    </w:pPr>
    <w:rPr>
      <w:rFonts w:eastAsia="宋体" w:cs="Times New Roman"/>
      <w:color w:val="auto"/>
      <w:kern w:val="0"/>
      <w:sz w:val="20"/>
      <w:szCs w:val="20"/>
    </w:rPr>
  </w:style>
  <w:style w:type="paragraph" w:customStyle="1" w:styleId="WPSOffice2">
    <w:name w:val="WPSOffice手动目录 2"/>
    <w:qFormat/>
    <w:rsid w:val="00F01993"/>
    <w:pPr>
      <w:ind w:leftChars="200" w:left="200"/>
      <w:jc w:val="left"/>
    </w:pPr>
    <w:rPr>
      <w:rFonts w:eastAsia="宋体" w:cs="Times New Roman"/>
      <w:color w:val="auto"/>
      <w:kern w:val="0"/>
      <w:sz w:val="20"/>
      <w:szCs w:val="20"/>
    </w:rPr>
  </w:style>
  <w:style w:type="character" w:customStyle="1" w:styleId="20">
    <w:name w:val="标题 2 字符"/>
    <w:basedOn w:val="a0"/>
    <w:link w:val="2"/>
    <w:uiPriority w:val="9"/>
    <w:qFormat/>
    <w:rsid w:val="00F01993"/>
    <w:rPr>
      <w:rFonts w:asciiTheme="majorHAnsi" w:eastAsia="宋体" w:hAnsiTheme="majorHAnsi" w:cstheme="majorBidi"/>
      <w:b/>
      <w:bCs/>
      <w:color w:val="auto"/>
      <w:szCs w:val="32"/>
    </w:rPr>
  </w:style>
  <w:style w:type="paragraph" w:styleId="a3">
    <w:name w:val="footnote text"/>
    <w:basedOn w:val="a"/>
    <w:link w:val="a4"/>
    <w:uiPriority w:val="99"/>
    <w:semiHidden/>
    <w:unhideWhenUsed/>
    <w:qFormat/>
    <w:rsid w:val="00F01993"/>
    <w:pPr>
      <w:snapToGrid w:val="0"/>
      <w:jc w:val="left"/>
    </w:pPr>
    <w:rPr>
      <w:sz w:val="18"/>
      <w:szCs w:val="18"/>
    </w:rPr>
  </w:style>
  <w:style w:type="character" w:customStyle="1" w:styleId="a4">
    <w:name w:val="脚注文本 字符"/>
    <w:basedOn w:val="a0"/>
    <w:link w:val="a3"/>
    <w:uiPriority w:val="99"/>
    <w:semiHidden/>
    <w:rsid w:val="00F01993"/>
    <w:rPr>
      <w:rFonts w:asciiTheme="minorHAnsi" w:eastAsiaTheme="minorEastAsia" w:hAnsiTheme="minorHAnsi"/>
      <w:color w:val="auto"/>
      <w:sz w:val="18"/>
      <w:szCs w:val="18"/>
    </w:rPr>
  </w:style>
  <w:style w:type="character" w:styleId="a5">
    <w:name w:val="footnote reference"/>
    <w:basedOn w:val="a0"/>
    <w:uiPriority w:val="99"/>
    <w:semiHidden/>
    <w:unhideWhenUsed/>
    <w:qFormat/>
    <w:rsid w:val="00F01993"/>
    <w:rPr>
      <w:vertAlign w:val="superscript"/>
    </w:rPr>
  </w:style>
  <w:style w:type="character" w:customStyle="1" w:styleId="10">
    <w:name w:val="标题 1 字符"/>
    <w:basedOn w:val="a0"/>
    <w:link w:val="1"/>
    <w:uiPriority w:val="9"/>
    <w:rsid w:val="002C1598"/>
    <w:rPr>
      <w:rFonts w:asciiTheme="minorHAnsi" w:eastAsiaTheme="minorEastAsia" w:hAnsiTheme="minorHAnsi"/>
      <w:b/>
      <w:bCs/>
      <w:color w:val="auto"/>
      <w:kern w:val="44"/>
      <w:sz w:val="44"/>
      <w:szCs w:val="44"/>
    </w:rPr>
  </w:style>
  <w:style w:type="paragraph" w:styleId="a6">
    <w:name w:val="footer"/>
    <w:basedOn w:val="a"/>
    <w:link w:val="a7"/>
    <w:uiPriority w:val="99"/>
    <w:unhideWhenUsed/>
    <w:rsid w:val="00630967"/>
    <w:pPr>
      <w:tabs>
        <w:tab w:val="center" w:pos="4153"/>
        <w:tab w:val="right" w:pos="8306"/>
      </w:tabs>
      <w:snapToGrid w:val="0"/>
      <w:jc w:val="left"/>
    </w:pPr>
    <w:rPr>
      <w:sz w:val="18"/>
      <w:szCs w:val="18"/>
    </w:rPr>
  </w:style>
  <w:style w:type="character" w:customStyle="1" w:styleId="a7">
    <w:name w:val="页脚 字符"/>
    <w:basedOn w:val="a0"/>
    <w:link w:val="a6"/>
    <w:uiPriority w:val="99"/>
    <w:rsid w:val="00630967"/>
    <w:rPr>
      <w:rFonts w:asciiTheme="minorHAnsi" w:eastAsiaTheme="minorEastAsia" w:hAnsiTheme="minorHAnsi"/>
      <w:color w:val="auto"/>
      <w:sz w:val="18"/>
      <w:szCs w:val="18"/>
    </w:rPr>
  </w:style>
  <w:style w:type="character" w:styleId="a8">
    <w:name w:val="page number"/>
    <w:basedOn w:val="a0"/>
    <w:uiPriority w:val="99"/>
    <w:semiHidden/>
    <w:unhideWhenUsed/>
    <w:rsid w:val="00630967"/>
  </w:style>
  <w:style w:type="paragraph" w:styleId="TOC1">
    <w:name w:val="toc 1"/>
    <w:basedOn w:val="a"/>
    <w:next w:val="a"/>
    <w:autoRedefine/>
    <w:uiPriority w:val="39"/>
    <w:unhideWhenUsed/>
    <w:rsid w:val="00630967"/>
    <w:pPr>
      <w:spacing w:before="120" w:after="120"/>
      <w:jc w:val="left"/>
    </w:pPr>
    <w:rPr>
      <w:rFonts w:eastAsiaTheme="minorHAnsi"/>
      <w:b/>
      <w:bCs/>
      <w:caps/>
      <w:sz w:val="20"/>
      <w:szCs w:val="20"/>
    </w:rPr>
  </w:style>
  <w:style w:type="paragraph" w:styleId="TOC3">
    <w:name w:val="toc 3"/>
    <w:basedOn w:val="a"/>
    <w:next w:val="a"/>
    <w:autoRedefine/>
    <w:uiPriority w:val="39"/>
    <w:unhideWhenUsed/>
    <w:rsid w:val="00630967"/>
    <w:pPr>
      <w:ind w:left="420"/>
      <w:jc w:val="left"/>
    </w:pPr>
    <w:rPr>
      <w:rFonts w:eastAsiaTheme="minorHAnsi"/>
      <w:i/>
      <w:iCs/>
      <w:sz w:val="20"/>
      <w:szCs w:val="20"/>
    </w:rPr>
  </w:style>
  <w:style w:type="paragraph" w:styleId="TOC4">
    <w:name w:val="toc 4"/>
    <w:basedOn w:val="a"/>
    <w:next w:val="a"/>
    <w:autoRedefine/>
    <w:uiPriority w:val="39"/>
    <w:unhideWhenUsed/>
    <w:rsid w:val="00630967"/>
    <w:pPr>
      <w:ind w:left="630"/>
      <w:jc w:val="left"/>
    </w:pPr>
    <w:rPr>
      <w:rFonts w:eastAsiaTheme="minorHAnsi"/>
      <w:sz w:val="18"/>
      <w:szCs w:val="18"/>
    </w:rPr>
  </w:style>
  <w:style w:type="paragraph" w:styleId="TOC5">
    <w:name w:val="toc 5"/>
    <w:basedOn w:val="a"/>
    <w:next w:val="a"/>
    <w:autoRedefine/>
    <w:uiPriority w:val="39"/>
    <w:unhideWhenUsed/>
    <w:rsid w:val="00630967"/>
    <w:pPr>
      <w:ind w:left="840"/>
      <w:jc w:val="left"/>
    </w:pPr>
    <w:rPr>
      <w:rFonts w:eastAsiaTheme="minorHAnsi"/>
      <w:sz w:val="18"/>
      <w:szCs w:val="18"/>
    </w:rPr>
  </w:style>
  <w:style w:type="paragraph" w:styleId="TOC6">
    <w:name w:val="toc 6"/>
    <w:basedOn w:val="a"/>
    <w:next w:val="a"/>
    <w:autoRedefine/>
    <w:uiPriority w:val="39"/>
    <w:unhideWhenUsed/>
    <w:rsid w:val="00630967"/>
    <w:pPr>
      <w:ind w:left="1050"/>
      <w:jc w:val="left"/>
    </w:pPr>
    <w:rPr>
      <w:rFonts w:eastAsiaTheme="minorHAnsi"/>
      <w:sz w:val="18"/>
      <w:szCs w:val="18"/>
    </w:rPr>
  </w:style>
  <w:style w:type="paragraph" w:styleId="TOC7">
    <w:name w:val="toc 7"/>
    <w:basedOn w:val="a"/>
    <w:next w:val="a"/>
    <w:autoRedefine/>
    <w:uiPriority w:val="39"/>
    <w:unhideWhenUsed/>
    <w:rsid w:val="00630967"/>
    <w:pPr>
      <w:ind w:left="1260"/>
      <w:jc w:val="left"/>
    </w:pPr>
    <w:rPr>
      <w:rFonts w:eastAsiaTheme="minorHAnsi"/>
      <w:sz w:val="18"/>
      <w:szCs w:val="18"/>
    </w:rPr>
  </w:style>
  <w:style w:type="paragraph" w:styleId="TOC8">
    <w:name w:val="toc 8"/>
    <w:basedOn w:val="a"/>
    <w:next w:val="a"/>
    <w:autoRedefine/>
    <w:uiPriority w:val="39"/>
    <w:unhideWhenUsed/>
    <w:rsid w:val="00630967"/>
    <w:pPr>
      <w:ind w:left="1470"/>
      <w:jc w:val="left"/>
    </w:pPr>
    <w:rPr>
      <w:rFonts w:eastAsiaTheme="minorHAnsi"/>
      <w:sz w:val="18"/>
      <w:szCs w:val="18"/>
    </w:rPr>
  </w:style>
  <w:style w:type="paragraph" w:styleId="TOC9">
    <w:name w:val="toc 9"/>
    <w:basedOn w:val="a"/>
    <w:next w:val="a"/>
    <w:autoRedefine/>
    <w:uiPriority w:val="39"/>
    <w:unhideWhenUsed/>
    <w:rsid w:val="00630967"/>
    <w:pPr>
      <w:ind w:left="1680"/>
      <w:jc w:val="left"/>
    </w:pPr>
    <w:rPr>
      <w:rFonts w:eastAsiaTheme="minorHAnsi"/>
      <w:sz w:val="18"/>
      <w:szCs w:val="18"/>
    </w:rPr>
  </w:style>
  <w:style w:type="character" w:styleId="a9">
    <w:name w:val="Hyperlink"/>
    <w:basedOn w:val="a0"/>
    <w:uiPriority w:val="99"/>
    <w:unhideWhenUsed/>
    <w:rsid w:val="00630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4C787-DBE3-AE48-8334-2ADF3265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静</dc:creator>
  <cp:keywords/>
  <dc:description/>
  <cp:lastModifiedBy>2197798640@qq.com</cp:lastModifiedBy>
  <cp:revision>5</cp:revision>
  <dcterms:created xsi:type="dcterms:W3CDTF">2020-11-09T00:40:00Z</dcterms:created>
  <dcterms:modified xsi:type="dcterms:W3CDTF">2020-11-12T12:43:00Z</dcterms:modified>
</cp:coreProperties>
</file>