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51A7A" w:rsidRDefault="00651A7A" w:rsidP="00DE4F1D">
      <w:pPr>
        <w:rPr>
          <w:rFonts w:ascii="黑体" w:eastAsia="黑体" w:hAnsi="黑体" w:cs="Times New Roman"/>
          <w:b/>
          <w:bCs/>
          <w:color w:val="auto"/>
          <w:sz w:val="50"/>
          <w:szCs w:val="50"/>
        </w:rPr>
      </w:pPr>
      <w:bookmarkStart w:id="0" w:name="_Toc13268"/>
    </w:p>
    <w:p w:rsidR="00651A7A" w:rsidRDefault="00651A7A" w:rsidP="00DE4F1D">
      <w:pPr>
        <w:rPr>
          <w:rFonts w:ascii="黑体" w:eastAsia="黑体" w:hAnsi="黑体" w:cs="Times New Roman"/>
          <w:b/>
          <w:bCs/>
          <w:color w:val="auto"/>
          <w:sz w:val="50"/>
          <w:szCs w:val="50"/>
        </w:rPr>
      </w:pPr>
    </w:p>
    <w:p w:rsidR="00651A7A" w:rsidRDefault="00651A7A" w:rsidP="00DE4F1D">
      <w:pPr>
        <w:rPr>
          <w:rFonts w:ascii="黑体" w:eastAsia="黑体" w:hAnsi="黑体" w:cs="Times New Roman"/>
          <w:b/>
          <w:bCs/>
          <w:color w:val="auto"/>
          <w:sz w:val="50"/>
          <w:szCs w:val="50"/>
        </w:rPr>
      </w:pPr>
    </w:p>
    <w:p w:rsidR="001D1D23" w:rsidRPr="001D1D23" w:rsidRDefault="001D1D23" w:rsidP="00DE4F1D">
      <w:pPr>
        <w:rPr>
          <w:rFonts w:ascii="黑体" w:eastAsia="黑体" w:hAnsi="黑体" w:cs="Times New Roman"/>
          <w:b/>
          <w:bCs/>
          <w:color w:val="auto"/>
          <w:sz w:val="50"/>
          <w:szCs w:val="50"/>
        </w:rPr>
      </w:pPr>
      <w:r w:rsidRPr="001D1D23">
        <w:rPr>
          <w:rFonts w:ascii="黑体" w:eastAsia="黑体" w:hAnsi="黑体" w:cs="Times New Roman" w:hint="eastAsia"/>
          <w:b/>
          <w:bCs/>
          <w:color w:val="auto"/>
          <w:sz w:val="50"/>
          <w:szCs w:val="50"/>
        </w:rPr>
        <w:t>聚焦脱贫攻坚，助力乡村振兴</w:t>
      </w:r>
      <w:bookmarkEnd w:id="0"/>
    </w:p>
    <w:p w:rsidR="001D1D23" w:rsidRPr="001D1D23" w:rsidRDefault="001D1D23" w:rsidP="00DE4F1D">
      <w:pPr>
        <w:rPr>
          <w:rFonts w:ascii="黑体" w:eastAsia="黑体" w:hAnsi="黑体" w:cs="黑体"/>
          <w:b/>
          <w:bCs/>
          <w:color w:val="auto"/>
          <w:sz w:val="50"/>
          <w:szCs w:val="50"/>
        </w:rPr>
      </w:pPr>
      <w:bookmarkStart w:id="1" w:name="_Toc11543"/>
      <w:bookmarkStart w:id="2" w:name="_Toc18855"/>
      <w:bookmarkStart w:id="3" w:name="_Toc202"/>
      <w:bookmarkStart w:id="4" w:name="_Toc5594"/>
      <w:bookmarkStart w:id="5" w:name="_Toc12051"/>
      <w:bookmarkStart w:id="6" w:name="_Toc22346"/>
      <w:r w:rsidRPr="001D1D23">
        <w:rPr>
          <w:rFonts w:ascii="黑体" w:eastAsia="黑体" w:hAnsi="黑体" w:cs="黑体" w:hint="eastAsia"/>
          <w:b/>
          <w:bCs/>
          <w:color w:val="auto"/>
          <w:sz w:val="50"/>
          <w:szCs w:val="50"/>
        </w:rPr>
        <w:t>——北京大学经济学院浙江仙居</w:t>
      </w:r>
      <w:bookmarkEnd w:id="1"/>
      <w:bookmarkEnd w:id="2"/>
      <w:bookmarkEnd w:id="3"/>
      <w:bookmarkEnd w:id="4"/>
      <w:bookmarkEnd w:id="5"/>
      <w:bookmarkEnd w:id="6"/>
    </w:p>
    <w:p w:rsidR="001D1D23" w:rsidRDefault="001D1D23" w:rsidP="00DE4F1D">
      <w:pPr>
        <w:rPr>
          <w:rFonts w:ascii="黑体" w:eastAsia="黑体" w:hAnsi="黑体" w:cs="黑体"/>
          <w:b/>
          <w:bCs/>
          <w:color w:val="auto"/>
          <w:sz w:val="50"/>
          <w:szCs w:val="50"/>
        </w:rPr>
      </w:pPr>
      <w:bookmarkStart w:id="7" w:name="_Toc26096"/>
      <w:bookmarkStart w:id="8" w:name="_Toc21863"/>
      <w:bookmarkStart w:id="9" w:name="_Toc12923"/>
      <w:bookmarkStart w:id="10" w:name="_Toc32599"/>
      <w:bookmarkStart w:id="11" w:name="_Toc32394"/>
      <w:bookmarkStart w:id="12" w:name="_Toc15527"/>
      <w:r w:rsidRPr="001D1D23">
        <w:rPr>
          <w:rFonts w:ascii="黑体" w:eastAsia="黑体" w:hAnsi="黑体" w:cs="黑体" w:hint="eastAsia"/>
          <w:b/>
          <w:bCs/>
          <w:color w:val="auto"/>
          <w:sz w:val="50"/>
          <w:szCs w:val="50"/>
        </w:rPr>
        <w:t>实践团</w:t>
      </w:r>
      <w:bookmarkEnd w:id="7"/>
      <w:bookmarkEnd w:id="8"/>
      <w:bookmarkEnd w:id="9"/>
      <w:bookmarkEnd w:id="10"/>
      <w:bookmarkEnd w:id="11"/>
      <w:r w:rsidRPr="001D1D23">
        <w:rPr>
          <w:rFonts w:ascii="黑体" w:eastAsia="黑体" w:hAnsi="黑体" w:cs="黑体" w:hint="eastAsia"/>
          <w:b/>
          <w:bCs/>
          <w:color w:val="auto"/>
          <w:sz w:val="50"/>
          <w:szCs w:val="50"/>
        </w:rPr>
        <w:t>思政实践报告</w:t>
      </w:r>
      <w:bookmarkEnd w:id="12"/>
    </w:p>
    <w:p w:rsidR="001D1D23" w:rsidRDefault="001D1D23" w:rsidP="00DE4F1D">
      <w:pPr>
        <w:rPr>
          <w:rFonts w:ascii="黑体" w:eastAsia="黑体" w:hAnsi="黑体" w:cs="黑体"/>
          <w:b/>
          <w:bCs/>
          <w:color w:val="auto"/>
          <w:sz w:val="50"/>
          <w:szCs w:val="50"/>
        </w:rPr>
      </w:pPr>
      <w:r>
        <w:rPr>
          <w:rFonts w:ascii="黑体" w:eastAsia="黑体" w:hAnsi="黑体" w:cs="黑体"/>
          <w:b/>
          <w:bCs/>
          <w:color w:val="auto"/>
          <w:sz w:val="50"/>
          <w:szCs w:val="50"/>
        </w:rPr>
        <w:br w:type="page"/>
      </w:r>
    </w:p>
    <w:p w:rsidR="00FA2038" w:rsidRDefault="00FA2038" w:rsidP="001D1D23">
      <w:pPr>
        <w:pStyle w:val="WPSOffice3"/>
        <w:tabs>
          <w:tab w:val="right" w:leader="dot" w:pos="8306"/>
        </w:tabs>
        <w:ind w:leftChars="0" w:left="0"/>
        <w:jc w:val="center"/>
        <w:outlineLvl w:val="1"/>
        <w:rPr>
          <w:rFonts w:ascii="宋体" w:eastAsia="宋体" w:hAnsi="宋体"/>
          <w:b/>
          <w:bCs/>
          <w:sz w:val="48"/>
          <w:szCs w:val="48"/>
        </w:rPr>
      </w:pPr>
      <w:bookmarkStart w:id="13" w:name="_Toc2975"/>
    </w:p>
    <w:p w:rsidR="001D1D23" w:rsidRDefault="001D1D23" w:rsidP="001D1D23">
      <w:pPr>
        <w:pStyle w:val="WPSOffice3"/>
        <w:tabs>
          <w:tab w:val="right" w:leader="dot" w:pos="8306"/>
        </w:tabs>
        <w:ind w:leftChars="0" w:left="0"/>
        <w:jc w:val="center"/>
        <w:outlineLvl w:val="1"/>
        <w:rPr>
          <w:rFonts w:ascii="宋体" w:eastAsia="宋体" w:hAnsi="宋体"/>
          <w:b/>
          <w:bCs/>
          <w:sz w:val="48"/>
          <w:szCs w:val="48"/>
        </w:rPr>
      </w:pPr>
      <w:r w:rsidRPr="00FA2038">
        <w:rPr>
          <w:rFonts w:ascii="宋体" w:eastAsia="宋体" w:hAnsi="宋体" w:hint="eastAsia"/>
          <w:b/>
          <w:bCs/>
          <w:sz w:val="48"/>
          <w:szCs w:val="48"/>
        </w:rPr>
        <w:t>目录</w:t>
      </w:r>
      <w:bookmarkEnd w:id="13"/>
    </w:p>
    <w:p w:rsidR="00FA2038" w:rsidRPr="00FA2038" w:rsidRDefault="00FA2038" w:rsidP="001D1D23">
      <w:pPr>
        <w:pStyle w:val="WPSOffice3"/>
        <w:tabs>
          <w:tab w:val="right" w:leader="dot" w:pos="8306"/>
        </w:tabs>
        <w:ind w:leftChars="0" w:left="0"/>
        <w:jc w:val="center"/>
        <w:outlineLvl w:val="1"/>
        <w:rPr>
          <w:rFonts w:ascii="宋体" w:eastAsia="宋体" w:hAnsi="宋体" w:hint="eastAsia"/>
          <w:b/>
          <w:bCs/>
          <w:sz w:val="48"/>
          <w:szCs w:val="48"/>
        </w:rPr>
      </w:pPr>
    </w:p>
    <w:p w:rsidR="00FA2038" w:rsidRPr="00FA2038" w:rsidRDefault="00FA2038">
      <w:pPr>
        <w:pStyle w:val="TOC1"/>
        <w:tabs>
          <w:tab w:val="right" w:leader="dot" w:pos="8296"/>
        </w:tabs>
        <w:rPr>
          <w:rFonts w:ascii="宋体" w:eastAsia="宋体" w:hAnsi="宋体"/>
          <w:b w:val="0"/>
          <w:bCs w:val="0"/>
          <w:caps w:val="0"/>
          <w:noProof/>
          <w:color w:val="auto"/>
          <w:sz w:val="24"/>
          <w:szCs w:val="24"/>
        </w:rPr>
      </w:pPr>
      <w:r>
        <w:rPr>
          <w:rFonts w:ascii="宋体" w:eastAsia="宋体" w:hAnsi="宋体" w:cs="宋体"/>
          <w:bCs w:val="0"/>
          <w:sz w:val="24"/>
          <w:szCs w:val="72"/>
        </w:rPr>
        <w:fldChar w:fldCharType="begin"/>
      </w:r>
      <w:r>
        <w:rPr>
          <w:rFonts w:ascii="宋体" w:eastAsia="宋体" w:hAnsi="宋体" w:cs="宋体"/>
          <w:bCs w:val="0"/>
          <w:sz w:val="24"/>
          <w:szCs w:val="72"/>
        </w:rPr>
        <w:instrText xml:space="preserve"> TOC \o "1-1" \h \z \u </w:instrText>
      </w:r>
      <w:r>
        <w:rPr>
          <w:rFonts w:ascii="宋体" w:eastAsia="宋体" w:hAnsi="宋体" w:cs="宋体"/>
          <w:bCs w:val="0"/>
          <w:sz w:val="24"/>
          <w:szCs w:val="72"/>
        </w:rPr>
        <w:fldChar w:fldCharType="separate"/>
      </w:r>
      <w:hyperlink w:anchor="_Toc57099159" w:history="1">
        <w:r w:rsidRPr="00FA2038">
          <w:rPr>
            <w:rStyle w:val="a9"/>
            <w:rFonts w:ascii="宋体" w:eastAsia="宋体" w:hAnsi="宋体" w:cs="Times New Roman"/>
            <w:noProof/>
            <w:sz w:val="24"/>
            <w:szCs w:val="24"/>
          </w:rPr>
          <w:t>1.对仙居县脱贫攻坚实践及其成果的探讨</w:t>
        </w:r>
        <w:r w:rsidRPr="00FA2038">
          <w:rPr>
            <w:rFonts w:ascii="宋体" w:eastAsia="宋体" w:hAnsi="宋体"/>
            <w:noProof/>
            <w:webHidden/>
            <w:sz w:val="24"/>
            <w:szCs w:val="24"/>
          </w:rPr>
          <w:tab/>
        </w:r>
        <w:r w:rsidRPr="00FA2038">
          <w:rPr>
            <w:rFonts w:ascii="宋体" w:eastAsia="宋体" w:hAnsi="宋体"/>
            <w:noProof/>
            <w:webHidden/>
            <w:sz w:val="24"/>
            <w:szCs w:val="24"/>
          </w:rPr>
          <w:fldChar w:fldCharType="begin"/>
        </w:r>
        <w:r w:rsidRPr="00FA2038">
          <w:rPr>
            <w:rFonts w:ascii="宋体" w:eastAsia="宋体" w:hAnsi="宋体"/>
            <w:noProof/>
            <w:webHidden/>
            <w:sz w:val="24"/>
            <w:szCs w:val="24"/>
          </w:rPr>
          <w:instrText xml:space="preserve"> PAGEREF _Toc57099159 \h </w:instrText>
        </w:r>
        <w:r w:rsidRPr="00FA2038">
          <w:rPr>
            <w:rFonts w:ascii="宋体" w:eastAsia="宋体" w:hAnsi="宋体"/>
            <w:noProof/>
            <w:webHidden/>
            <w:sz w:val="24"/>
            <w:szCs w:val="24"/>
          </w:rPr>
        </w:r>
        <w:r w:rsidRPr="00FA2038">
          <w:rPr>
            <w:rFonts w:ascii="宋体" w:eastAsia="宋体" w:hAnsi="宋体"/>
            <w:noProof/>
            <w:webHidden/>
            <w:sz w:val="24"/>
            <w:szCs w:val="24"/>
          </w:rPr>
          <w:fldChar w:fldCharType="separate"/>
        </w:r>
        <w:r w:rsidRPr="00FA2038">
          <w:rPr>
            <w:rFonts w:ascii="宋体" w:eastAsia="宋体" w:hAnsi="宋体"/>
            <w:noProof/>
            <w:webHidden/>
            <w:sz w:val="24"/>
            <w:szCs w:val="24"/>
          </w:rPr>
          <w:t>3</w:t>
        </w:r>
        <w:r w:rsidRPr="00FA2038">
          <w:rPr>
            <w:rFonts w:ascii="宋体" w:eastAsia="宋体" w:hAnsi="宋体"/>
            <w:noProof/>
            <w:webHidden/>
            <w:sz w:val="24"/>
            <w:szCs w:val="24"/>
          </w:rPr>
          <w:fldChar w:fldCharType="end"/>
        </w:r>
      </w:hyperlink>
    </w:p>
    <w:p w:rsidR="00FA2038" w:rsidRPr="00FA2038" w:rsidRDefault="00FA2038">
      <w:pPr>
        <w:pStyle w:val="TOC1"/>
        <w:tabs>
          <w:tab w:val="right" w:leader="dot" w:pos="8296"/>
        </w:tabs>
        <w:rPr>
          <w:rFonts w:ascii="宋体" w:eastAsia="宋体" w:hAnsi="宋体"/>
          <w:b w:val="0"/>
          <w:bCs w:val="0"/>
          <w:caps w:val="0"/>
          <w:noProof/>
          <w:color w:val="auto"/>
          <w:sz w:val="24"/>
          <w:szCs w:val="24"/>
        </w:rPr>
      </w:pPr>
      <w:hyperlink w:anchor="_Toc57099160" w:history="1">
        <w:r w:rsidRPr="00FA2038">
          <w:rPr>
            <w:rStyle w:val="a9"/>
            <w:rFonts w:ascii="宋体" w:eastAsia="宋体" w:hAnsi="宋体" w:cs="Times New Roman"/>
            <w:noProof/>
            <w:sz w:val="24"/>
            <w:szCs w:val="24"/>
          </w:rPr>
          <w:t>2.基础设施的建设</w:t>
        </w:r>
        <w:r w:rsidRPr="00FA2038">
          <w:rPr>
            <w:rFonts w:ascii="宋体" w:eastAsia="宋体" w:hAnsi="宋体"/>
            <w:noProof/>
            <w:webHidden/>
            <w:sz w:val="24"/>
            <w:szCs w:val="24"/>
          </w:rPr>
          <w:tab/>
        </w:r>
        <w:r w:rsidRPr="00FA2038">
          <w:rPr>
            <w:rFonts w:ascii="宋体" w:eastAsia="宋体" w:hAnsi="宋体"/>
            <w:noProof/>
            <w:webHidden/>
            <w:sz w:val="24"/>
            <w:szCs w:val="24"/>
          </w:rPr>
          <w:fldChar w:fldCharType="begin"/>
        </w:r>
        <w:r w:rsidRPr="00FA2038">
          <w:rPr>
            <w:rFonts w:ascii="宋体" w:eastAsia="宋体" w:hAnsi="宋体"/>
            <w:noProof/>
            <w:webHidden/>
            <w:sz w:val="24"/>
            <w:szCs w:val="24"/>
          </w:rPr>
          <w:instrText xml:space="preserve"> PAGEREF _Toc57099160 \h </w:instrText>
        </w:r>
        <w:r w:rsidRPr="00FA2038">
          <w:rPr>
            <w:rFonts w:ascii="宋体" w:eastAsia="宋体" w:hAnsi="宋体"/>
            <w:noProof/>
            <w:webHidden/>
            <w:sz w:val="24"/>
            <w:szCs w:val="24"/>
          </w:rPr>
        </w:r>
        <w:r w:rsidRPr="00FA2038">
          <w:rPr>
            <w:rFonts w:ascii="宋体" w:eastAsia="宋体" w:hAnsi="宋体"/>
            <w:noProof/>
            <w:webHidden/>
            <w:sz w:val="24"/>
            <w:szCs w:val="24"/>
          </w:rPr>
          <w:fldChar w:fldCharType="separate"/>
        </w:r>
        <w:r w:rsidRPr="00FA2038">
          <w:rPr>
            <w:rFonts w:ascii="宋体" w:eastAsia="宋体" w:hAnsi="宋体"/>
            <w:noProof/>
            <w:webHidden/>
            <w:sz w:val="24"/>
            <w:szCs w:val="24"/>
          </w:rPr>
          <w:t>6</w:t>
        </w:r>
        <w:r w:rsidRPr="00FA2038">
          <w:rPr>
            <w:rFonts w:ascii="宋体" w:eastAsia="宋体" w:hAnsi="宋体"/>
            <w:noProof/>
            <w:webHidden/>
            <w:sz w:val="24"/>
            <w:szCs w:val="24"/>
          </w:rPr>
          <w:fldChar w:fldCharType="end"/>
        </w:r>
      </w:hyperlink>
    </w:p>
    <w:p w:rsidR="00FA2038" w:rsidRPr="00FA2038" w:rsidRDefault="00FA2038">
      <w:pPr>
        <w:pStyle w:val="TOC1"/>
        <w:tabs>
          <w:tab w:val="right" w:leader="dot" w:pos="8296"/>
        </w:tabs>
        <w:rPr>
          <w:rFonts w:ascii="宋体" w:eastAsia="宋体" w:hAnsi="宋体"/>
          <w:b w:val="0"/>
          <w:bCs w:val="0"/>
          <w:caps w:val="0"/>
          <w:noProof/>
          <w:color w:val="auto"/>
          <w:sz w:val="24"/>
          <w:szCs w:val="24"/>
        </w:rPr>
      </w:pPr>
      <w:hyperlink w:anchor="_Toc57099161" w:history="1">
        <w:r w:rsidRPr="00FA2038">
          <w:rPr>
            <w:rStyle w:val="a9"/>
            <w:rFonts w:ascii="宋体" w:eastAsia="宋体" w:hAnsi="宋体" w:cs="Times New Roman"/>
            <w:noProof/>
            <w:sz w:val="24"/>
            <w:szCs w:val="24"/>
          </w:rPr>
          <w:t>3.基层党建工作</w:t>
        </w:r>
        <w:r w:rsidRPr="00FA2038">
          <w:rPr>
            <w:rFonts w:ascii="宋体" w:eastAsia="宋体" w:hAnsi="宋体"/>
            <w:noProof/>
            <w:webHidden/>
            <w:sz w:val="24"/>
            <w:szCs w:val="24"/>
          </w:rPr>
          <w:tab/>
        </w:r>
        <w:r w:rsidRPr="00FA2038">
          <w:rPr>
            <w:rFonts w:ascii="宋体" w:eastAsia="宋体" w:hAnsi="宋体"/>
            <w:noProof/>
            <w:webHidden/>
            <w:sz w:val="24"/>
            <w:szCs w:val="24"/>
          </w:rPr>
          <w:fldChar w:fldCharType="begin"/>
        </w:r>
        <w:r w:rsidRPr="00FA2038">
          <w:rPr>
            <w:rFonts w:ascii="宋体" w:eastAsia="宋体" w:hAnsi="宋体"/>
            <w:noProof/>
            <w:webHidden/>
            <w:sz w:val="24"/>
            <w:szCs w:val="24"/>
          </w:rPr>
          <w:instrText xml:space="preserve"> PAGEREF _Toc57099161 \h </w:instrText>
        </w:r>
        <w:r w:rsidRPr="00FA2038">
          <w:rPr>
            <w:rFonts w:ascii="宋体" w:eastAsia="宋体" w:hAnsi="宋体"/>
            <w:noProof/>
            <w:webHidden/>
            <w:sz w:val="24"/>
            <w:szCs w:val="24"/>
          </w:rPr>
        </w:r>
        <w:r w:rsidRPr="00FA2038">
          <w:rPr>
            <w:rFonts w:ascii="宋体" w:eastAsia="宋体" w:hAnsi="宋体"/>
            <w:noProof/>
            <w:webHidden/>
            <w:sz w:val="24"/>
            <w:szCs w:val="24"/>
          </w:rPr>
          <w:fldChar w:fldCharType="separate"/>
        </w:r>
        <w:r w:rsidRPr="00FA2038">
          <w:rPr>
            <w:rFonts w:ascii="宋体" w:eastAsia="宋体" w:hAnsi="宋体"/>
            <w:noProof/>
            <w:webHidden/>
            <w:sz w:val="24"/>
            <w:szCs w:val="24"/>
          </w:rPr>
          <w:t>6</w:t>
        </w:r>
        <w:r w:rsidRPr="00FA2038">
          <w:rPr>
            <w:rFonts w:ascii="宋体" w:eastAsia="宋体" w:hAnsi="宋体"/>
            <w:noProof/>
            <w:webHidden/>
            <w:sz w:val="24"/>
            <w:szCs w:val="24"/>
          </w:rPr>
          <w:fldChar w:fldCharType="end"/>
        </w:r>
      </w:hyperlink>
    </w:p>
    <w:p w:rsidR="00FA2038" w:rsidRPr="00FA2038" w:rsidRDefault="00FA2038">
      <w:pPr>
        <w:pStyle w:val="TOC1"/>
        <w:tabs>
          <w:tab w:val="right" w:leader="dot" w:pos="8296"/>
        </w:tabs>
        <w:rPr>
          <w:rFonts w:ascii="宋体" w:eastAsia="宋体" w:hAnsi="宋体"/>
          <w:b w:val="0"/>
          <w:bCs w:val="0"/>
          <w:caps w:val="0"/>
          <w:noProof/>
          <w:color w:val="auto"/>
          <w:sz w:val="24"/>
          <w:szCs w:val="24"/>
        </w:rPr>
      </w:pPr>
      <w:hyperlink w:anchor="_Toc57099162" w:history="1">
        <w:r w:rsidRPr="00FA2038">
          <w:rPr>
            <w:rStyle w:val="a9"/>
            <w:rFonts w:ascii="宋体" w:eastAsia="宋体" w:hAnsi="宋体" w:cs="Times New Roman"/>
            <w:noProof/>
            <w:sz w:val="24"/>
            <w:szCs w:val="24"/>
          </w:rPr>
          <w:t>4.特色农业与乡村振兴</w:t>
        </w:r>
        <w:r w:rsidRPr="00FA2038">
          <w:rPr>
            <w:rFonts w:ascii="宋体" w:eastAsia="宋体" w:hAnsi="宋体"/>
            <w:noProof/>
            <w:webHidden/>
            <w:sz w:val="24"/>
            <w:szCs w:val="24"/>
          </w:rPr>
          <w:tab/>
        </w:r>
        <w:r w:rsidRPr="00FA2038">
          <w:rPr>
            <w:rFonts w:ascii="宋体" w:eastAsia="宋体" w:hAnsi="宋体"/>
            <w:noProof/>
            <w:webHidden/>
            <w:sz w:val="24"/>
            <w:szCs w:val="24"/>
          </w:rPr>
          <w:fldChar w:fldCharType="begin"/>
        </w:r>
        <w:r w:rsidRPr="00FA2038">
          <w:rPr>
            <w:rFonts w:ascii="宋体" w:eastAsia="宋体" w:hAnsi="宋体"/>
            <w:noProof/>
            <w:webHidden/>
            <w:sz w:val="24"/>
            <w:szCs w:val="24"/>
          </w:rPr>
          <w:instrText xml:space="preserve"> PAGEREF _Toc57099162 \h </w:instrText>
        </w:r>
        <w:r w:rsidRPr="00FA2038">
          <w:rPr>
            <w:rFonts w:ascii="宋体" w:eastAsia="宋体" w:hAnsi="宋体"/>
            <w:noProof/>
            <w:webHidden/>
            <w:sz w:val="24"/>
            <w:szCs w:val="24"/>
          </w:rPr>
        </w:r>
        <w:r w:rsidRPr="00FA2038">
          <w:rPr>
            <w:rFonts w:ascii="宋体" w:eastAsia="宋体" w:hAnsi="宋体"/>
            <w:noProof/>
            <w:webHidden/>
            <w:sz w:val="24"/>
            <w:szCs w:val="24"/>
          </w:rPr>
          <w:fldChar w:fldCharType="separate"/>
        </w:r>
        <w:r w:rsidRPr="00FA2038">
          <w:rPr>
            <w:rFonts w:ascii="宋体" w:eastAsia="宋体" w:hAnsi="宋体"/>
            <w:noProof/>
            <w:webHidden/>
            <w:sz w:val="24"/>
            <w:szCs w:val="24"/>
          </w:rPr>
          <w:t>7</w:t>
        </w:r>
        <w:r w:rsidRPr="00FA2038">
          <w:rPr>
            <w:rFonts w:ascii="宋体" w:eastAsia="宋体" w:hAnsi="宋体"/>
            <w:noProof/>
            <w:webHidden/>
            <w:sz w:val="24"/>
            <w:szCs w:val="24"/>
          </w:rPr>
          <w:fldChar w:fldCharType="end"/>
        </w:r>
      </w:hyperlink>
    </w:p>
    <w:p w:rsidR="00FA2038" w:rsidRDefault="00FA2038">
      <w:pPr>
        <w:pStyle w:val="TOC1"/>
        <w:tabs>
          <w:tab w:val="right" w:leader="dot" w:pos="8296"/>
        </w:tabs>
        <w:rPr>
          <w:rFonts w:eastAsiaTheme="minorEastAsia" w:hAnsiTheme="minorHAnsi"/>
          <w:b w:val="0"/>
          <w:bCs w:val="0"/>
          <w:caps w:val="0"/>
          <w:noProof/>
          <w:color w:val="auto"/>
          <w:sz w:val="21"/>
          <w:szCs w:val="24"/>
        </w:rPr>
      </w:pPr>
      <w:hyperlink w:anchor="_Toc57099163" w:history="1">
        <w:r w:rsidRPr="00FA2038">
          <w:rPr>
            <w:rStyle w:val="a9"/>
            <w:rFonts w:ascii="宋体" w:eastAsia="宋体" w:hAnsi="宋体" w:cs="Times New Roman"/>
            <w:noProof/>
            <w:sz w:val="24"/>
            <w:szCs w:val="24"/>
          </w:rPr>
          <w:t>5.总结</w:t>
        </w:r>
        <w:r w:rsidRPr="00FA2038">
          <w:rPr>
            <w:rFonts w:ascii="宋体" w:eastAsia="宋体" w:hAnsi="宋体"/>
            <w:noProof/>
            <w:webHidden/>
            <w:sz w:val="24"/>
            <w:szCs w:val="24"/>
          </w:rPr>
          <w:tab/>
        </w:r>
        <w:r w:rsidRPr="00FA2038">
          <w:rPr>
            <w:rFonts w:ascii="宋体" w:eastAsia="宋体" w:hAnsi="宋体"/>
            <w:noProof/>
            <w:webHidden/>
            <w:sz w:val="24"/>
            <w:szCs w:val="24"/>
          </w:rPr>
          <w:fldChar w:fldCharType="begin"/>
        </w:r>
        <w:r w:rsidRPr="00FA2038">
          <w:rPr>
            <w:rFonts w:ascii="宋体" w:eastAsia="宋体" w:hAnsi="宋体"/>
            <w:noProof/>
            <w:webHidden/>
            <w:sz w:val="24"/>
            <w:szCs w:val="24"/>
          </w:rPr>
          <w:instrText xml:space="preserve"> PAGEREF _Toc57099163 \h </w:instrText>
        </w:r>
        <w:r w:rsidRPr="00FA2038">
          <w:rPr>
            <w:rFonts w:ascii="宋体" w:eastAsia="宋体" w:hAnsi="宋体"/>
            <w:noProof/>
            <w:webHidden/>
            <w:sz w:val="24"/>
            <w:szCs w:val="24"/>
          </w:rPr>
        </w:r>
        <w:r w:rsidRPr="00FA2038">
          <w:rPr>
            <w:rFonts w:ascii="宋体" w:eastAsia="宋体" w:hAnsi="宋体"/>
            <w:noProof/>
            <w:webHidden/>
            <w:sz w:val="24"/>
            <w:szCs w:val="24"/>
          </w:rPr>
          <w:fldChar w:fldCharType="separate"/>
        </w:r>
        <w:r w:rsidRPr="00FA2038">
          <w:rPr>
            <w:rFonts w:ascii="宋体" w:eastAsia="宋体" w:hAnsi="宋体"/>
            <w:noProof/>
            <w:webHidden/>
            <w:sz w:val="24"/>
            <w:szCs w:val="24"/>
          </w:rPr>
          <w:t>11</w:t>
        </w:r>
        <w:r w:rsidRPr="00FA2038">
          <w:rPr>
            <w:rFonts w:ascii="宋体" w:eastAsia="宋体" w:hAnsi="宋体"/>
            <w:noProof/>
            <w:webHidden/>
            <w:sz w:val="24"/>
            <w:szCs w:val="24"/>
          </w:rPr>
          <w:fldChar w:fldCharType="end"/>
        </w:r>
      </w:hyperlink>
    </w:p>
    <w:p w:rsidR="00FA2038" w:rsidRDefault="00FA2038" w:rsidP="00FA2038">
      <w:pPr>
        <w:pStyle w:val="WPSOffice3"/>
        <w:tabs>
          <w:tab w:val="right" w:leader="dot" w:pos="8306"/>
        </w:tabs>
        <w:spacing w:line="360" w:lineRule="auto"/>
        <w:ind w:leftChars="0" w:left="0"/>
        <w:rPr>
          <w:rFonts w:ascii="宋体" w:eastAsia="宋体" w:hAnsi="宋体" w:cs="宋体"/>
          <w:bCs/>
          <w:sz w:val="24"/>
          <w:szCs w:val="72"/>
        </w:rPr>
      </w:pPr>
      <w:r>
        <w:rPr>
          <w:rFonts w:ascii="宋体" w:eastAsia="宋体" w:hAnsi="宋体" w:cs="宋体"/>
          <w:bCs/>
          <w:sz w:val="24"/>
          <w:szCs w:val="72"/>
        </w:rPr>
        <w:fldChar w:fldCharType="end"/>
      </w:r>
    </w:p>
    <w:p w:rsidR="001D1D23" w:rsidRPr="00FA2038" w:rsidRDefault="00FA2038" w:rsidP="00FA2038">
      <w:pPr>
        <w:jc w:val="right"/>
        <w:rPr>
          <w:rFonts w:ascii="宋体" w:eastAsia="宋体" w:hAnsi="宋体" w:cs="宋体" w:hint="eastAsia"/>
          <w:bCs/>
          <w:color w:val="auto"/>
          <w:kern w:val="0"/>
          <w:szCs w:val="72"/>
        </w:rPr>
      </w:pPr>
      <w:r>
        <w:rPr>
          <w:rFonts w:ascii="宋体" w:eastAsia="宋体" w:hAnsi="宋体" w:cs="宋体"/>
          <w:bCs/>
          <w:szCs w:val="72"/>
        </w:rPr>
        <w:br w:type="page"/>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lastRenderedPageBreak/>
        <w:t>浙江省仙居县是一座人杰地灵的千年古城，近年来，仙居正从闭塞落后走向发达繁荣，其间经济建设取得了不小的成就。仙居的发展模式值得我们去深入地思考，通过为期三天的社会实践活动，仙居县建设模式给我们留下了较为深刻的印象。在接下来的报告中，我们将总结概括当地的情况，并对于仙居如何更好地发展提出一些自己的想法与建议。</w:t>
      </w:r>
    </w:p>
    <w:p w:rsidR="001D1D23" w:rsidRPr="001D1D23" w:rsidRDefault="001D1D23" w:rsidP="001D1D23">
      <w:pPr>
        <w:widowControl w:val="0"/>
        <w:jc w:val="both"/>
        <w:rPr>
          <w:rFonts w:ascii="宋体" w:eastAsia="宋体" w:hAnsi="宋体" w:cs="Times New Roman"/>
          <w:color w:val="auto"/>
        </w:rPr>
      </w:pPr>
    </w:p>
    <w:p w:rsidR="001D1D23" w:rsidRPr="001D1D23" w:rsidRDefault="001D1D23" w:rsidP="00DE4F1D">
      <w:pPr>
        <w:widowControl w:val="0"/>
        <w:jc w:val="both"/>
        <w:outlineLvl w:val="0"/>
        <w:rPr>
          <w:rFonts w:ascii="宋体" w:eastAsia="宋体" w:hAnsi="宋体" w:cs="Times New Roman"/>
          <w:b/>
          <w:bCs/>
          <w:color w:val="auto"/>
          <w:sz w:val="32"/>
          <w:szCs w:val="32"/>
        </w:rPr>
      </w:pPr>
      <w:bookmarkStart w:id="14" w:name="_Toc932"/>
      <w:bookmarkStart w:id="15" w:name="_Toc6525"/>
      <w:bookmarkStart w:id="16" w:name="_Toc28069"/>
      <w:bookmarkStart w:id="17" w:name="_Toc57099159"/>
      <w:r w:rsidRPr="001D1D23">
        <w:rPr>
          <w:rFonts w:ascii="宋体" w:eastAsia="宋体" w:hAnsi="宋体" w:cs="Times New Roman" w:hint="eastAsia"/>
          <w:b/>
          <w:bCs/>
          <w:color w:val="auto"/>
          <w:sz w:val="32"/>
          <w:szCs w:val="32"/>
        </w:rPr>
        <w:t>1.对仙居县脱贫攻坚实践及其成果的探讨</w:t>
      </w:r>
      <w:bookmarkEnd w:id="14"/>
      <w:bookmarkEnd w:id="15"/>
      <w:bookmarkEnd w:id="16"/>
      <w:bookmarkEnd w:id="17"/>
    </w:p>
    <w:p w:rsidR="001D1D23" w:rsidRPr="001D1D23" w:rsidRDefault="001D1D23" w:rsidP="00DE4F1D">
      <w:pPr>
        <w:widowControl w:val="0"/>
        <w:jc w:val="both"/>
        <w:outlineLvl w:val="1"/>
        <w:rPr>
          <w:rFonts w:ascii="宋体" w:eastAsia="宋体" w:hAnsi="宋体" w:cs="Times New Roman"/>
          <w:b/>
          <w:bCs/>
          <w:color w:val="auto"/>
        </w:rPr>
      </w:pPr>
      <w:bookmarkStart w:id="18" w:name="_Toc6991"/>
      <w:bookmarkStart w:id="19" w:name="_Toc17090"/>
      <w:bookmarkStart w:id="20" w:name="_Toc32234"/>
      <w:r w:rsidRPr="001D1D23">
        <w:rPr>
          <w:rFonts w:ascii="宋体" w:eastAsia="宋体" w:hAnsi="宋体" w:cs="Times New Roman" w:hint="eastAsia"/>
          <w:b/>
          <w:bCs/>
          <w:color w:val="auto"/>
        </w:rPr>
        <w:t>1.1仙居县脱贫攻坚的背景</w:t>
      </w:r>
      <w:bookmarkEnd w:id="18"/>
      <w:bookmarkEnd w:id="19"/>
      <w:bookmarkEnd w:id="20"/>
    </w:p>
    <w:p w:rsidR="001D1D23" w:rsidRPr="001D1D23" w:rsidRDefault="001D1D23" w:rsidP="001D1D23">
      <w:pPr>
        <w:widowControl w:val="0"/>
        <w:ind w:firstLineChars="200" w:firstLine="480"/>
        <w:jc w:val="both"/>
        <w:rPr>
          <w:rFonts w:ascii="宋体" w:eastAsia="宋体" w:hAnsi="宋体" w:cs="Times New Roman"/>
          <w:color w:val="333333"/>
          <w:shd w:val="clear" w:color="auto" w:fill="FFFFFF"/>
        </w:rPr>
      </w:pPr>
      <w:r w:rsidRPr="001D1D23">
        <w:rPr>
          <w:rFonts w:ascii="宋体" w:eastAsia="宋体" w:hAnsi="宋体" w:cs="Times New Roman" w:hint="eastAsia"/>
          <w:color w:val="auto"/>
        </w:rPr>
        <w:t>习近平总书记在2015年的中央扶贫开发会议上强调：“</w:t>
      </w:r>
      <w:r w:rsidRPr="001D1D23">
        <w:rPr>
          <w:rFonts w:ascii="宋体" w:eastAsia="宋体" w:hAnsi="宋体" w:cs="Times New Roman" w:hint="eastAsia"/>
          <w:color w:val="333333"/>
          <w:shd w:val="clear" w:color="auto" w:fill="FFFFFF"/>
        </w:rPr>
        <w:t>消除贫困、改善民生、逐步实现共同富裕，是社会主义的本质要求，是中国共产党的重要使命。”</w:t>
      </w:r>
      <w:r w:rsidRPr="001D1D23">
        <w:rPr>
          <w:rFonts w:ascii="宋体" w:eastAsia="宋体" w:hAnsi="宋体" w:cs="宋体" w:hint="eastAsia"/>
          <w:color w:val="333333"/>
          <w:shd w:val="clear" w:color="auto" w:fill="FFFFFF"/>
          <w:vertAlign w:val="superscript"/>
        </w:rPr>
        <w:footnoteReference w:id="1"/>
      </w:r>
      <w:r w:rsidRPr="001D1D23">
        <w:rPr>
          <w:rFonts w:ascii="宋体" w:eastAsia="宋体" w:hAnsi="宋体" w:cs="Times New Roman" w:hint="eastAsia"/>
          <w:color w:val="auto"/>
        </w:rPr>
        <w:t>所谓脱贫，顾名思义就是摆脱贫困的状态，个人过上较为体面的生活，社会逐渐步入小康，乃至更为富裕的状态。扶贫的目标可以用“不愁吃”、“不愁穿”，而且能得到“义务教育”、“基本医疗”和“安全住房”来概括。从全国来看，尽管中国经过改革开放三十几年的努力，使7亿多农村贫困人口成功脱贫，为全面建成小康社会打下了坚实基础，但仍存在一部分人处于贫困的生活，</w:t>
      </w:r>
      <w:r w:rsidRPr="001D1D23">
        <w:rPr>
          <w:rFonts w:ascii="宋体" w:eastAsia="宋体" w:hAnsi="宋体" w:cs="Times New Roman" w:hint="eastAsia"/>
          <w:color w:val="333333"/>
          <w:shd w:val="clear" w:color="auto" w:fill="FFFFFF"/>
        </w:rPr>
        <w:t>截至2014年底，中国仍有7000多万农村贫困人口。</w:t>
      </w:r>
      <w:r w:rsidRPr="001D1D23">
        <w:rPr>
          <w:rFonts w:ascii="宋体" w:eastAsia="宋体" w:hAnsi="宋体" w:cs="宋体" w:hint="eastAsia"/>
          <w:color w:val="333333"/>
          <w:shd w:val="clear" w:color="auto" w:fill="FFFFFF"/>
          <w:vertAlign w:val="superscript"/>
        </w:rPr>
        <w:footnoteReference w:id="2"/>
      </w:r>
      <w:r w:rsidRPr="001D1D23">
        <w:rPr>
          <w:rFonts w:ascii="宋体" w:eastAsia="宋体" w:hAnsi="宋体" w:cs="Times New Roman" w:hint="eastAsia"/>
          <w:color w:val="333333"/>
          <w:shd w:val="clear" w:color="auto" w:fill="FFFFFF"/>
        </w:rPr>
        <w:t>就仙居县当地来看，全县下辖7镇10个乡3个街道，418个行政村，其中丘陵山地面积占全县约百分之八十，有“八山一水一分田”之说，因此交通不便，不利于工农业的发展，居民收入自然有限。</w:t>
      </w:r>
    </w:p>
    <w:p w:rsidR="001D1D23" w:rsidRPr="001D1D23" w:rsidRDefault="001D1D23" w:rsidP="001D1D23">
      <w:pPr>
        <w:widowControl w:val="0"/>
        <w:ind w:firstLineChars="200" w:firstLine="480"/>
        <w:jc w:val="both"/>
        <w:rPr>
          <w:rFonts w:ascii="宋体" w:eastAsia="宋体" w:hAnsi="宋体" w:cs="Times New Roman"/>
          <w:color w:val="333333"/>
          <w:shd w:val="clear" w:color="auto" w:fill="FFFFFF"/>
        </w:rPr>
      </w:pPr>
      <w:r w:rsidRPr="001D1D23">
        <w:rPr>
          <w:rFonts w:ascii="宋体" w:eastAsia="宋体" w:hAnsi="宋体" w:cs="Times New Roman" w:hint="eastAsia"/>
          <w:color w:val="333333"/>
          <w:shd w:val="clear" w:color="auto" w:fill="FFFFFF"/>
        </w:rPr>
        <w:t>在此背景下，仙居县借助当地丰富多样的旅游资源，得天独厚的杨梅种植条件，在党脱贫攻坚战的理论指导下，依靠各村庄的党的基层干部和村民的大胆实践，因地制宜，通过一系列政策和措施取得了脱贫攻坚战的伟大胜利。</w:t>
      </w:r>
    </w:p>
    <w:p w:rsidR="001D1D23" w:rsidRPr="001D1D23" w:rsidRDefault="001D1D23" w:rsidP="001D1D23">
      <w:pPr>
        <w:widowControl w:val="0"/>
        <w:jc w:val="both"/>
        <w:rPr>
          <w:rFonts w:ascii="宋体" w:eastAsia="宋体" w:hAnsi="宋体" w:cs="Times New Roman"/>
          <w:color w:val="333333"/>
          <w:shd w:val="clear" w:color="auto" w:fill="FFFFFF"/>
        </w:rPr>
      </w:pPr>
    </w:p>
    <w:p w:rsidR="001D1D23" w:rsidRPr="001D1D23" w:rsidRDefault="001D1D23" w:rsidP="00DE4F1D">
      <w:pPr>
        <w:widowControl w:val="0"/>
        <w:jc w:val="both"/>
        <w:outlineLvl w:val="1"/>
        <w:rPr>
          <w:rFonts w:ascii="宋体" w:eastAsia="宋体" w:hAnsi="宋体" w:cs="Times New Roman"/>
          <w:b/>
          <w:bCs/>
          <w:color w:val="auto"/>
        </w:rPr>
      </w:pPr>
      <w:bookmarkStart w:id="21" w:name="_Toc2381"/>
      <w:bookmarkStart w:id="22" w:name="_Toc23636"/>
      <w:bookmarkStart w:id="23" w:name="_Toc5605"/>
      <w:r w:rsidRPr="001D1D23">
        <w:rPr>
          <w:rFonts w:ascii="宋体" w:eastAsia="宋体" w:hAnsi="宋体" w:cs="Times New Roman" w:hint="eastAsia"/>
          <w:b/>
          <w:bCs/>
          <w:color w:val="auto"/>
        </w:rPr>
        <w:t>1.2.仙居县脱贫攻坚的实践过程</w:t>
      </w:r>
      <w:bookmarkEnd w:id="21"/>
      <w:bookmarkEnd w:id="22"/>
      <w:bookmarkEnd w:id="23"/>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一般来说，不同地区的扶贫计划是因地、因项制宜的。以“教育扶贫”为例，一般政府采取的政策包括膳食补助、助学贷款助学金和“雨露计划”等。而仙居县的扶贫政策和规划具体是否得到落实，其成效如何，成本与代价又是怎样的，这些问题需要我们在思政实践中通过线上采访与交流得到进一步认识与理解。</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在社会实践学习和了解的过程中，我们认为仙居县的脱贫攻坚能够实现，最重要的两点就是基层党政干部的无私奉献和正确的决策领导以及能够选择适合仙居自然人文条件的产业发展方向，实现绿色可持续发展和科学发展。</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如今的林坑村，随着农房改造的完成，林坑村创建生态农业发展基地，大力发展杨梅、水蜜桃等绿色无公害农产品，大力发展农家乐民宿产业，拓展乡村旅游市场。2018年林坑村成功创建县级美丽乡村精品村以及农家乐特色村，同时被评为3A级景区村庄。2019年，林坑村荣获“省善治示范村”称号。</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这一切，离不开林坑村干部的奋斗和努力，而其中蒋书记就是一位一心一意带领大家脱贫攻坚，共同致富的好干部。蒋书记2011年当选村干部，2012年在政府指导下改造开始动土，74户农民改造开展统一规划，到2014年，取得阶段性成果——基本把房子建起，农户住进新房子；随后，蒋书记带领大家继续开展一系列项目，使林坑村取得了“美丽农村”、“党建示范村”等称号，2018年成为</w:t>
      </w:r>
      <w:r w:rsidRPr="001D1D23">
        <w:rPr>
          <w:rFonts w:ascii="宋体" w:eastAsia="宋体" w:hAnsi="宋体" w:cs="Times New Roman" w:hint="eastAsia"/>
          <w:color w:val="auto"/>
        </w:rPr>
        <w:lastRenderedPageBreak/>
        <w:t>农家乐示范村、3A景区村庄、美丽乡村等；为了解决林坑村位置偏僻、客源少、部分房子闲置等问题，2019年蒋书记带领全村开展农家乐集体经营项目，装修房子、建设祠堂，同时对红色事迹进行挖掘，对古道进行修复，设计了上党课、走古道等主题教育活动，此外蒋书记整合利用闲置土地，打造网红点。为了缓解今年疫情对于林坑村的影响，在蒋书记的努力下，安心购物帮扶平台得以建立，林坑村开展了台州第一家网上村点：村干部收购农户土特产，网上销售，为农户解决产品销售问题。</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蒋书记对我们说，在十年的村干部经历中，也经历了很多困难，但是他心中一直有个信念，就是改善林坑村的环境和生活质量，有再多的困难，也可以一步一步去解决。对未来，蒋书记希望林坑村能够建立整体产业、招商引资、联系学校打造规划方案等，带领大家紧跟时代潮流，奋斗出美好生活。</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钱书记是2</w:t>
      </w:r>
      <w:r w:rsidRPr="001D1D23">
        <w:rPr>
          <w:rFonts w:ascii="宋体" w:eastAsia="宋体" w:hAnsi="宋体" w:cs="Times New Roman"/>
          <w:color w:val="auto"/>
        </w:rPr>
        <w:t>0</w:t>
      </w:r>
      <w:r w:rsidRPr="001D1D23">
        <w:rPr>
          <w:rFonts w:ascii="宋体" w:eastAsia="宋体" w:hAnsi="宋体" w:cs="Times New Roman" w:hint="eastAsia"/>
          <w:color w:val="auto"/>
        </w:rPr>
        <w:t>18年分配到林坑村的，是第七任下派的指导员，通过结对帮扶制度建设欠发达乡村。钱书记来到林坑村时对它的第一印象是，交通不便、山区中的山区，尽管环境整洁、房屋外观整齐，但空心化程度非常严重，实际活动人口200人左右，基本都是老年人，资源少，年轻人以外出打工或经商为主，在经济构成中，基本没有集体经济的份额。经过一段时间的考察调研，钱书记决定利用环境好这一优势，发展旅游业，村集体牵头经营、承担费用，让村民愿意加入；依靠仙居整体旅游优势的辐射，通过集体经营的模式发展农家乐、统一加工包装销售山里绿色农产品，逐渐起步完善，发展好林坑村的经济。有了好的带头人，领导班子齐心合力，拧成一股绳，以身作则，形成一股合力，再加上因地制宜，妥善地利用好交通，区位和资源等，扬长避短，前期做好规划，建设的时候不急于求成，而是把准乡村的“脉”，林坑村的经济很快就发展了起来。</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对于之后，钱书记还有比较充分的规划，第一他希望能够进一步改善交通，修缮道路，第二他计划能够扩容神仙居，让这个仙居的牌子走出去，更加响亮。同时他还对村民的淳朴非常感动，感慨他们对项目都十分支持，年轻干部也把精力投入乡村建设。在这样一个领导干部尽心竭力，人民尽力配合，大家都把精力投入到乡村建设当中的林坑村，成功之路也就在眼前。</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回乡创业的杨勇，则是淡竹飞速发展的民宿产业的一个代表。杨勇2015年回到了淡竹，投身民宿产业。一方面，政府号召青年到祖国需要的地方去，为脱贫事业做出贡献；另一方面，淡竹地方政府也给予了民宿创业者相当大的支持，鼓励他们发展民宿，带动经济发展。当然，作出这样的职业选择，也离不开杨勇自身的意愿。杨勇在早些时候就和全国各地的民宿经营者打过交道，他认为经营民宿非常符合自己的性格，能给自己带来快乐和成就感。</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对于一名创业者来说，经验是在实践中逐渐积累的。杨勇开的第一家民宿生意非常火爆，他之后总结原因与优势时，认为选择民宿的开业时间十分重要。彼时，6月正是杨梅成熟的季节，而紧接的7、8月份又是旅游的旺季，客流量十分可观，其中又以长三角地区的游客居多。基于此，在2017年再次选址发展民宿时，他同样选择了在旺季开业，最终大获成功。</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谈到民宿的理念、设计，杨勇有着更为丰富的认识。首先，他说民宿的关键在于人，要建设好主人文化，给游客一个温馨愉悦的体验。要做到这一点，需要民宿经营者多走多看多学，不断自我迭代。其次，杨勇十分看重民宿的公共区域以及提供个性化的服务。在民宿的设计图纸上，他一再加大公共区域的面积，为游客提供了别致的休闲娱乐体验。通过细心观察，他也发现了不同时段的游客特点——比如旺季以散客为主，淡季以企业团建为主。这是他提供个性化服务的依</w:t>
      </w:r>
      <w:r w:rsidRPr="001D1D23">
        <w:rPr>
          <w:rFonts w:ascii="宋体" w:eastAsia="宋体" w:hAnsi="宋体" w:cs="Times New Roman" w:hint="eastAsia"/>
          <w:color w:val="auto"/>
        </w:rPr>
        <w:lastRenderedPageBreak/>
        <w:t>据之一。最后，杨勇先生还谈到了环保理念和公益理念。得诸社会，还诸社会，杨勇参加了各类公益组织。同时，他也非常注意在给乡村带来振兴的同时，不让环境承担过大的压力，积极参与到当地“光盘行动”和“绿币计划”的实际践行当中。</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在实现绿色发展、科学发展的过程中，淡竹乡无疑是一个很好的典范。淡竹乡位于仙居县城的西南部，经济底子薄，相对偏僻贫穷；另一方面淡竹乡行政区域大，是台州市面积最大的乡镇之一。淡竹乡的经济建设大有可为，因为它有着优秀的自然禀赋——国家5A级景区大神仙居，4A级淡竹修仙谷等。大片的森林贡献了这里奇高无比的负氧离子含量，使得淡竹乡享有“江南九寨，天然氧吧”的美誉。</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为了充分利用当地的自然禀赋，淡竹乡注重开发人文环境。如尚仁村、油溪村等全国古村落保护名录村庄及古建筑古迹，与自然美景“五色交辉，相得益彰”。同时，淡竹乡加强基础设施建设，不断提供更完善、优质的公共服务。如游客服务中心、生态停车场、主题公园、标准化旅游标识与导览系统、休闲绿道等等，大大增加了游客满意度。</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系统地来说，淡竹乡的依靠三类产业和别出心裁的经营方式，打造了其独特的产品体系。其一是“民宿产业+经济”，通过成立旅游开发公司、民宿农家乐协会，制定五星评级标准，同时借助电子商务平台扩大宣传，有力促进了民宿的规模化、规范化发展，形成了有序互补的差异化格局。其二是“文创产业+文化”，将“山、水、竹、村、田、人”六大元素合并为一个有机的综合体，展现了淡竹乡独特的生态理念、哲学理念。最后，是“绿色农业+体验”，淡竹乡打造了一批农家休闲体验区、山水田园观光区、乡土文化体验区，将体验和绿色无公害作为主要特色，将习近平主席的“两山”理念融汇到经济发展中。</w:t>
      </w:r>
    </w:p>
    <w:p w:rsidR="001D1D23" w:rsidRPr="001D1D23" w:rsidRDefault="001D1D23" w:rsidP="001D1D23">
      <w:pPr>
        <w:widowControl w:val="0"/>
        <w:jc w:val="both"/>
        <w:rPr>
          <w:rFonts w:ascii="宋体" w:eastAsia="宋体" w:hAnsi="宋体" w:cs="Times New Roman"/>
          <w:color w:val="auto"/>
        </w:rPr>
      </w:pPr>
      <w:r w:rsidRPr="001D1D23">
        <w:rPr>
          <w:rFonts w:ascii="宋体" w:eastAsia="宋体" w:hAnsi="宋体" w:cs="Times New Roman" w:hint="eastAsia"/>
          <w:color w:val="auto"/>
        </w:rPr>
        <w:tab/>
        <w:t xml:space="preserve"> 在三大产业的支撑下，淡竹乡的发展措施卓有成效。民宿200多家、床位4000多个、日游客接待量可达9000人；平均每家农家乐年收入15万元，带动村民增收10余万元；引进对接精品高端民宿项目，总投资20余亿元……淡竹乡人民确确实实的富起来了。</w:t>
      </w:r>
    </w:p>
    <w:p w:rsidR="001D1D23" w:rsidRPr="001D1D23" w:rsidRDefault="001D1D23" w:rsidP="001D1D23">
      <w:pPr>
        <w:widowControl w:val="0"/>
        <w:jc w:val="both"/>
        <w:rPr>
          <w:rFonts w:ascii="宋体" w:eastAsia="宋体" w:hAnsi="宋体" w:cs="Times New Roman"/>
          <w:color w:val="auto"/>
        </w:rPr>
      </w:pPr>
    </w:p>
    <w:p w:rsidR="001D1D23" w:rsidRPr="001D1D23" w:rsidRDefault="001D1D23" w:rsidP="00DE4F1D">
      <w:pPr>
        <w:widowControl w:val="0"/>
        <w:jc w:val="both"/>
        <w:outlineLvl w:val="1"/>
        <w:rPr>
          <w:rFonts w:ascii="宋体" w:eastAsia="宋体" w:hAnsi="宋体" w:cs="Times New Roman"/>
          <w:b/>
          <w:bCs/>
          <w:color w:val="auto"/>
        </w:rPr>
      </w:pPr>
      <w:bookmarkStart w:id="24" w:name="_Toc31359"/>
      <w:bookmarkStart w:id="25" w:name="_Toc1861"/>
      <w:bookmarkStart w:id="26" w:name="_Toc9881"/>
      <w:r w:rsidRPr="001D1D23">
        <w:rPr>
          <w:rFonts w:ascii="宋体" w:eastAsia="宋体" w:hAnsi="宋体" w:cs="Times New Roman" w:hint="eastAsia"/>
          <w:b/>
          <w:bCs/>
          <w:color w:val="auto"/>
        </w:rPr>
        <w:t>1.3 对仙居县脱贫攻坚的学习体会和总结</w:t>
      </w:r>
      <w:bookmarkEnd w:id="24"/>
      <w:bookmarkEnd w:id="25"/>
      <w:bookmarkEnd w:id="26"/>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通过三天与仙居县的领导干部们的交流，我们得出结论，仙居县依托人杰地灵的自然与社会环境，因时因地制宜，发展了以绿色生态山水旅游业（包括农家乐、民宿、自然景区等）和特色农产品销售业（包括土鸡、杨梅、绿茶、土蜂蜜等特色共生模式下的一体化农产品）为主的产业经济模式，具有强大的内在潜力，给脱贫扶贫增添了原始动力，指明了方向。</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脱贫扶贫不是纸上谈兵，也不是一厢情愿。从设计规划到具体实行，领导干部和群众必须通过和平协商达成一致而非一意孤行强行改造。这样才能更好地保证计划的合理性和可行性，杜绝劳民伤财瞒上欺下的形式主义，真真切切地帮助贫困的群众脱贫。</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而这些都绝对离不开我们所提到的以钱书记、蒋书记为代表的这些党的基层干部，他们发扬了作为党员大公无私、敢于承担责任的精神，坚持了一切从实际出发，实事求是的原则，也决离不开所有仙居县的人民群众，他们在改革创新的时代精神的引领下，勇立潮头、艰苦奋斗，提高自身技能，创业创收，为仙居县、为国家脱贫攻坚的事业做出了自己的贡献。正是在这样的精神力量的指引下，仙居县在国家全面建成小康社会的大潮流中，激流勇进，实现自身经济的发展。</w:t>
      </w:r>
    </w:p>
    <w:p w:rsidR="001D1D23" w:rsidRPr="001D1D23" w:rsidRDefault="001D1D23" w:rsidP="001D1D23">
      <w:pPr>
        <w:widowControl w:val="0"/>
        <w:jc w:val="both"/>
        <w:rPr>
          <w:rFonts w:ascii="宋体" w:eastAsia="宋体" w:hAnsi="宋体" w:cs="Times New Roman"/>
          <w:color w:val="auto"/>
        </w:rPr>
      </w:pPr>
    </w:p>
    <w:p w:rsidR="001D1D23" w:rsidRPr="001D1D23" w:rsidRDefault="001D1D23" w:rsidP="00DE4F1D">
      <w:pPr>
        <w:widowControl w:val="0"/>
        <w:jc w:val="both"/>
        <w:outlineLvl w:val="0"/>
        <w:rPr>
          <w:rFonts w:ascii="宋体" w:eastAsia="宋体" w:hAnsi="宋体" w:cs="Times New Roman"/>
          <w:b/>
          <w:bCs/>
          <w:color w:val="auto"/>
          <w:sz w:val="32"/>
          <w:szCs w:val="32"/>
        </w:rPr>
      </w:pPr>
      <w:bookmarkStart w:id="27" w:name="_Toc21766"/>
      <w:bookmarkStart w:id="28" w:name="_Toc12629"/>
      <w:bookmarkStart w:id="29" w:name="_Toc26007"/>
      <w:bookmarkStart w:id="30" w:name="_Toc57099160"/>
      <w:r w:rsidRPr="001D1D23">
        <w:rPr>
          <w:rFonts w:ascii="宋体" w:eastAsia="宋体" w:hAnsi="宋体" w:cs="Times New Roman" w:hint="eastAsia"/>
          <w:b/>
          <w:bCs/>
          <w:color w:val="auto"/>
          <w:sz w:val="32"/>
          <w:szCs w:val="32"/>
        </w:rPr>
        <w:t>2.基础设施的建设</w:t>
      </w:r>
      <w:bookmarkEnd w:id="27"/>
      <w:bookmarkEnd w:id="28"/>
      <w:bookmarkEnd w:id="29"/>
      <w:bookmarkEnd w:id="30"/>
    </w:p>
    <w:p w:rsidR="001D1D23" w:rsidRPr="001D1D23" w:rsidRDefault="001D1D23" w:rsidP="00DE4F1D">
      <w:pPr>
        <w:widowControl w:val="0"/>
        <w:jc w:val="both"/>
        <w:outlineLvl w:val="1"/>
        <w:rPr>
          <w:rFonts w:ascii="宋体" w:eastAsia="宋体" w:hAnsi="宋体" w:cs="Times New Roman"/>
          <w:b/>
          <w:bCs/>
          <w:color w:val="auto"/>
        </w:rPr>
      </w:pPr>
      <w:bookmarkStart w:id="31" w:name="_Toc19773"/>
      <w:bookmarkStart w:id="32" w:name="_Toc17038"/>
      <w:bookmarkStart w:id="33" w:name="_Toc2311"/>
      <w:r w:rsidRPr="001D1D23">
        <w:rPr>
          <w:rFonts w:ascii="宋体" w:eastAsia="宋体" w:hAnsi="宋体" w:cs="Times New Roman" w:hint="eastAsia"/>
          <w:b/>
          <w:bCs/>
          <w:color w:val="auto"/>
        </w:rPr>
        <w:t>2.1当地情况概述</w:t>
      </w:r>
      <w:bookmarkEnd w:id="31"/>
      <w:bookmarkEnd w:id="32"/>
      <w:bookmarkEnd w:id="33"/>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在仙居县的实践过程中我们了解到，仙居本地村庄脱贫的常用手段是发展旅游业，一方面因为当地自然环境优良，旅游资源丰富，江南山水别具一格，对接当地的特色农业，适宜发展旅游业；另一方面，当地的其他资源禀赋较差，基础设施建设相对落后，没有直接承接、发展第二产业的条件。所以，从因地制宜的立场出发，仙居县的改革发展模式良好契合了当地实况，也响应了绿色发展的需求。建设过程中，在提高村民生活品质的基础上，最大化保障了村庄的基本结构，促进滞留村民就地就业，还能吸引外出村民回乡创业，改善现阶段城市化进程中的问题。</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就此，东横街村、白塔镇、金竹岭脚村的基层村干部很有发言权。这几个村庄的发展模式很类似，在脱贫道路上都选择农业集体化经营，且带领村民走上民宿产业脱贫致富；他们也面临着相似的前期发展困局——村庄环境闭塞，村庄内原有生活环境差，集体资产匮乏，劳动力流失严重，交通条件恶劣，没有形成团结的基层领导班子。可以说，在真正改善和治理之前，这里只有纯粹美好的自然风光，和外面的交流发展形成“断带”。</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但是，这些基层领导在面临困局的时候，都意识到：“要想富，先修路”——基础设施的建设才是发展的本源，如此才能促进风景“走出去”，资金“走进来”。村干部们积极招商引资，开辟通往外界的道路，不仅有利于扩大旅游业的影响范围，还能开辟农副产品的销售通道；房屋建设有规划，成体系，积极改善村容村貌，切实做到人畜居住分离，既提升了村民的生活品质，也为后续的民宿产业发展打好基础；充分挖掘旅游资源，和当地特色农业如：杨梅产业相结合，相互蹴鞠；做好旅游宣传，多学习多借鉴，最终形成自己的发展模式，发展特色。</w:t>
      </w:r>
    </w:p>
    <w:p w:rsidR="001D1D23" w:rsidRPr="001D1D23" w:rsidRDefault="001D1D23" w:rsidP="001D1D23">
      <w:pPr>
        <w:widowControl w:val="0"/>
        <w:jc w:val="both"/>
        <w:rPr>
          <w:rFonts w:ascii="宋体" w:eastAsia="宋体" w:hAnsi="宋体" w:cs="Times New Roman"/>
          <w:color w:val="auto"/>
        </w:rPr>
      </w:pPr>
    </w:p>
    <w:p w:rsidR="001D1D23" w:rsidRPr="001D1D23" w:rsidRDefault="001D1D23" w:rsidP="00DE4F1D">
      <w:pPr>
        <w:widowControl w:val="0"/>
        <w:jc w:val="both"/>
        <w:outlineLvl w:val="1"/>
        <w:rPr>
          <w:rFonts w:ascii="宋体" w:eastAsia="宋体" w:hAnsi="宋体" w:cs="Times New Roman"/>
          <w:b/>
          <w:bCs/>
          <w:color w:val="auto"/>
        </w:rPr>
      </w:pPr>
      <w:bookmarkStart w:id="34" w:name="_Toc11338"/>
      <w:bookmarkStart w:id="35" w:name="_Toc29674"/>
      <w:bookmarkStart w:id="36" w:name="_Toc20210"/>
      <w:r w:rsidRPr="001D1D23">
        <w:rPr>
          <w:rFonts w:ascii="宋体" w:eastAsia="宋体" w:hAnsi="宋体" w:cs="Times New Roman" w:hint="eastAsia"/>
          <w:b/>
          <w:bCs/>
          <w:color w:val="auto"/>
        </w:rPr>
        <w:t>2.2 感想和建议</w:t>
      </w:r>
      <w:bookmarkEnd w:id="34"/>
      <w:bookmarkEnd w:id="35"/>
      <w:bookmarkEnd w:id="36"/>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听完基层领导们的分享，我们感触良多，中国的发展是伴随着基础设施的发展和完善的，放眼全国是这样，将视角投射在任何一个想要发展的小地区也是这样。</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在基层领导的分享中，我们认识到村庄的发展要有好的规划，基础设施的完善是根基，眼光要长远，在领导班子迭代的时候要做到发展目标的统一。事实上，即便存在大方向上的困难统一性，每个村子是实际情况仍旧千差万别，区位、交通、基础资源差距大，所以前期一定要结合实际情况形成好的规划，不能为了短期成果、完成任务，就盲目跟风、脱离实际，经验可以借鉴，但是不能照搬。每个地方都有自己的难处，也都有自己的发展机遇，可以说每个村庄的困难有千万种，但他们都殊途同归走上绿色发展、可持续发展的道路。</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基础设施的建设和完善是发展的基石，是边缘地方挂靠上全国快速发展列车上的通行证。正是因为地方基层领导们长远打算，切实进行实践总结，修设施，引投资，仙居的贫困村庄才得以摆脱发展困局，仙居之外的我们才有机会在“神仙居住之地”的民宿里一睹这里的山水秀美。</w:t>
      </w:r>
    </w:p>
    <w:p w:rsidR="001D1D23" w:rsidRPr="001D1D23" w:rsidRDefault="001D1D23" w:rsidP="001D1D23">
      <w:pPr>
        <w:widowControl w:val="0"/>
        <w:jc w:val="both"/>
        <w:rPr>
          <w:rFonts w:ascii="宋体" w:eastAsia="宋体" w:hAnsi="宋体" w:cs="Times New Roman"/>
          <w:color w:val="auto"/>
        </w:rPr>
      </w:pPr>
    </w:p>
    <w:p w:rsidR="001D1D23" w:rsidRPr="001D1D23" w:rsidRDefault="001D1D23" w:rsidP="00DE4F1D">
      <w:pPr>
        <w:widowControl w:val="0"/>
        <w:jc w:val="both"/>
        <w:outlineLvl w:val="0"/>
        <w:rPr>
          <w:rFonts w:ascii="宋体" w:eastAsia="宋体" w:hAnsi="宋体" w:cs="Times New Roman"/>
          <w:b/>
          <w:bCs/>
          <w:color w:val="auto"/>
          <w:sz w:val="32"/>
          <w:szCs w:val="32"/>
        </w:rPr>
      </w:pPr>
      <w:bookmarkStart w:id="37" w:name="_Toc30389"/>
      <w:bookmarkStart w:id="38" w:name="_Toc14368"/>
      <w:bookmarkStart w:id="39" w:name="_Toc6923"/>
      <w:bookmarkStart w:id="40" w:name="_Toc57099161"/>
      <w:r w:rsidRPr="001D1D23">
        <w:rPr>
          <w:rFonts w:ascii="宋体" w:eastAsia="宋体" w:hAnsi="宋体" w:cs="Times New Roman" w:hint="eastAsia"/>
          <w:b/>
          <w:bCs/>
          <w:color w:val="auto"/>
          <w:sz w:val="32"/>
          <w:szCs w:val="32"/>
        </w:rPr>
        <w:t>3.基层党建工作</w:t>
      </w:r>
      <w:bookmarkEnd w:id="37"/>
      <w:bookmarkEnd w:id="38"/>
      <w:bookmarkEnd w:id="39"/>
      <w:bookmarkEnd w:id="40"/>
    </w:p>
    <w:p w:rsidR="001D1D23" w:rsidRPr="001D1D23" w:rsidRDefault="001D1D23" w:rsidP="00DE4F1D">
      <w:pPr>
        <w:widowControl w:val="0"/>
        <w:jc w:val="both"/>
        <w:outlineLvl w:val="1"/>
        <w:rPr>
          <w:rFonts w:ascii="宋体" w:eastAsia="宋体" w:hAnsi="宋体" w:cs="Times New Roman"/>
          <w:b/>
          <w:bCs/>
          <w:color w:val="auto"/>
        </w:rPr>
      </w:pPr>
      <w:bookmarkStart w:id="41" w:name="_Toc6869"/>
      <w:bookmarkStart w:id="42" w:name="_Toc9715"/>
      <w:bookmarkStart w:id="43" w:name="_Toc16922"/>
      <w:r w:rsidRPr="001D1D23">
        <w:rPr>
          <w:rFonts w:ascii="宋体" w:eastAsia="宋体" w:hAnsi="宋体" w:cs="Times New Roman" w:hint="eastAsia"/>
          <w:b/>
          <w:bCs/>
          <w:color w:val="auto"/>
        </w:rPr>
        <w:lastRenderedPageBreak/>
        <w:t>3.1 当地情况概述</w:t>
      </w:r>
      <w:bookmarkEnd w:id="41"/>
      <w:bookmarkEnd w:id="42"/>
      <w:bookmarkEnd w:id="43"/>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听了来自东横街村、白塔镇、金竹溪村的各位基层干部的分享，我们意识到无论各地因地制宜采取怎样的方法脱贫致富，党员干部的带头作用都是成功的一个重要因素。</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东横街村的许子兵书记在当地民宿刚刚起步时，为战胜落后的交通状况，亲自驾车往返拉客，甚至几度病倒入院，他特别强调了“1234工作法”，村里的集体资产积累、道路建设都要靠党员打头阵。</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白塔镇的蒋炜烽委员也指出，成功的乡村必须有一个强有力的党支部，美丽党建是美丽乡村的灵魂，红色党旗引领美丽乡村建设。白塔镇的基层经费不多，却仍大力支持基层干部的培训，让他们到各地学习经验，指导本地的建设。当地党员也总是以身作则，亲身示范，加强了队伍内部、干部和人民的凝聚力。</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金竹溪村的农村工作指导员张新建更是鞠躬尽瘁，事事亲力亲为，深受民众爱戴，这足以体现基层党员干部要深入到人民群众中去。他也提到，劝说两名应拆迁村民失败时，当地联系其家中的党员干部亲戚劝说，拆一批建一批，最终使村民回心转意。由此可见，党员干部也是沟通政策与人民的桥梁。</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相反地，曾作为先进示范村的振兴村却在短短几年间面貌大不如前，被省委组织部定为软弱涣散村，其中的缘由也正是基层党建工作没有到位。村两委干部之间的矛盾尖锐，各有自己的小算盘，干部如此，村民自然也就如此，人心散了，又形成了自扫门前雪的老习惯。村两委议事效率低下，难议事、难决策、难落实现象普遍存在，内耗严重，凝聚力和战斗力差。这也从反面印证了，党员干部是乡村振兴工作的领头羊，强有力的基层党建工作更是一切惠民措施得以诞生和落实的前提。</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如今，张新建指导员再次担起大任，来到了振兴村。通过带领干部外出学习，与每个干部谈心，开设民主生活会，处理四名失职干部等一系列措施，他正在改变振兴村党建工作的面貌，我们也相信，假以时日，振兴村也能够重拾昔日的欣欣向荣。</w:t>
      </w:r>
    </w:p>
    <w:p w:rsidR="001D1D23" w:rsidRPr="001D1D23" w:rsidRDefault="001D1D23" w:rsidP="001D1D23">
      <w:pPr>
        <w:widowControl w:val="0"/>
        <w:jc w:val="both"/>
        <w:rPr>
          <w:rFonts w:ascii="宋体" w:eastAsia="宋体" w:hAnsi="宋体" w:cs="Times New Roman"/>
          <w:color w:val="auto"/>
        </w:rPr>
      </w:pPr>
    </w:p>
    <w:p w:rsidR="001D1D23" w:rsidRPr="001D1D23" w:rsidRDefault="001D1D23" w:rsidP="00DE4F1D">
      <w:pPr>
        <w:widowControl w:val="0"/>
        <w:jc w:val="both"/>
        <w:outlineLvl w:val="1"/>
        <w:rPr>
          <w:rFonts w:ascii="宋体" w:eastAsia="宋体" w:hAnsi="宋体" w:cs="Times New Roman"/>
          <w:b/>
          <w:bCs/>
          <w:color w:val="auto"/>
        </w:rPr>
      </w:pPr>
      <w:bookmarkStart w:id="44" w:name="_Toc19810"/>
      <w:bookmarkStart w:id="45" w:name="_Toc4561"/>
      <w:bookmarkStart w:id="46" w:name="_Toc13856"/>
      <w:r w:rsidRPr="001D1D23">
        <w:rPr>
          <w:rFonts w:ascii="宋体" w:eastAsia="宋体" w:hAnsi="宋体" w:cs="Times New Roman" w:hint="eastAsia"/>
          <w:b/>
          <w:bCs/>
          <w:color w:val="auto"/>
        </w:rPr>
        <w:t>3.2 感想与建议</w:t>
      </w:r>
      <w:bookmarkEnd w:id="44"/>
      <w:bookmarkEnd w:id="45"/>
      <w:bookmarkEnd w:id="46"/>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在提问与交流环节，有同学提出在基层干部不断变换的情况下，常常会出现政策的实施没有连续性，很多政策可能随着干部的离任就终止执行了。张新建指导员回答了这个问题，他仍以振兴村为例，在原领导调离后，新领导没有牢记全心全意为人民服务的宗旨，把个人恩怨带到工作中，导致干群关系的紧张。因此解决问题的核心仍是加强对党员干部的思想工作，让党员干部牢记为民服务的宗旨，一切政策、一切工作都以人民福祉为出发点和最终的落脚点。这再次印证了基层党建工作对于脱贫攻坚的重要性。</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此外，仙居当地的“仙燕归巢”项目利用寒暑假等时间，对大学生进行思想政治教育，带领大学生亲历红色故事。这种模式也是党建工作的一环，不断巩固大学生牢记人民福祉的意识，也为基层干部输送了更多人才。在林坑乡的脱贫故事中，干部提到，当地通过对红色事迹进行挖掘、古道进行修复，设计了上党课、走古道等主题教育活动，既为旅游活动增光添彩，也促进了党的历史、事迹、精神的教育。这两种方式将基层党建工作与乡村脱贫攻坚任务结合起来，值得我们借鉴和思考。</w:t>
      </w:r>
    </w:p>
    <w:p w:rsidR="001D1D23" w:rsidRPr="001D1D23" w:rsidRDefault="001D1D23" w:rsidP="00DE4F1D">
      <w:pPr>
        <w:widowControl w:val="0"/>
        <w:jc w:val="both"/>
        <w:outlineLvl w:val="0"/>
        <w:rPr>
          <w:rFonts w:ascii="宋体" w:eastAsia="宋体" w:hAnsi="宋体" w:cs="Times New Roman"/>
          <w:b/>
          <w:bCs/>
          <w:color w:val="auto"/>
          <w:sz w:val="32"/>
          <w:szCs w:val="32"/>
        </w:rPr>
      </w:pPr>
      <w:bookmarkStart w:id="47" w:name="_Toc26027"/>
      <w:bookmarkStart w:id="48" w:name="_Toc23011"/>
      <w:bookmarkStart w:id="49" w:name="_Toc23261"/>
      <w:bookmarkStart w:id="50" w:name="_Toc57099162"/>
      <w:r w:rsidRPr="001D1D23">
        <w:rPr>
          <w:rFonts w:ascii="宋体" w:eastAsia="宋体" w:hAnsi="宋体" w:cs="Times New Roman" w:hint="eastAsia"/>
          <w:b/>
          <w:bCs/>
          <w:color w:val="auto"/>
          <w:sz w:val="32"/>
          <w:szCs w:val="32"/>
        </w:rPr>
        <w:t>4.特色农业与乡村振兴</w:t>
      </w:r>
      <w:bookmarkEnd w:id="47"/>
      <w:bookmarkEnd w:id="48"/>
      <w:bookmarkEnd w:id="49"/>
      <w:bookmarkEnd w:id="50"/>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lastRenderedPageBreak/>
        <w:t>杨梅是仙居一张闪亮的名片，不仅出售鲜杨梅和杨梅加工制品为当地梅农带来丰厚的利润，杨梅采摘等农业体验环节更作为当地观光农业、民宿经营的一大特色，在同质化竞争相对严重的市郊旅游市场为仙居赋予了独特的吸引力。杨梅既是仙居农业转型发展的典型代表，也是一二三产业融合发展的核心特色。仙居杨梅产业的发展离不开天然禀赋宜农、先进技术促农、制度手段助农。</w:t>
      </w:r>
    </w:p>
    <w:p w:rsidR="001D1D23" w:rsidRPr="001D1D23" w:rsidRDefault="001D1D23" w:rsidP="001D1D23">
      <w:pPr>
        <w:widowControl w:val="0"/>
        <w:jc w:val="both"/>
        <w:rPr>
          <w:rFonts w:ascii="宋体" w:eastAsia="宋体" w:hAnsi="宋体" w:cs="Times New Roman"/>
          <w:b/>
          <w:bCs/>
          <w:color w:val="auto"/>
        </w:rPr>
      </w:pPr>
    </w:p>
    <w:p w:rsidR="001D1D23" w:rsidRPr="001D1D23" w:rsidRDefault="001D1D23" w:rsidP="00DE4F1D">
      <w:pPr>
        <w:widowControl w:val="0"/>
        <w:jc w:val="both"/>
        <w:outlineLvl w:val="1"/>
        <w:rPr>
          <w:rFonts w:ascii="宋体" w:eastAsia="宋体" w:hAnsi="宋体" w:cs="Times New Roman"/>
          <w:b/>
          <w:bCs/>
          <w:color w:val="auto"/>
        </w:rPr>
      </w:pPr>
      <w:bookmarkStart w:id="51" w:name="_Toc21092"/>
      <w:bookmarkStart w:id="52" w:name="_Toc4555"/>
      <w:bookmarkStart w:id="53" w:name="_Toc18802"/>
      <w:r w:rsidRPr="001D1D23">
        <w:rPr>
          <w:rFonts w:ascii="宋体" w:eastAsia="宋体" w:hAnsi="宋体" w:cs="Times New Roman" w:hint="eastAsia"/>
          <w:b/>
          <w:bCs/>
          <w:color w:val="auto"/>
        </w:rPr>
        <w:t>4.1 天然禀赋：中国杨梅数仙居</w:t>
      </w:r>
      <w:bookmarkEnd w:id="51"/>
      <w:bookmarkEnd w:id="52"/>
      <w:bookmarkEnd w:id="53"/>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浙江省仙居县地处中国东南部，北纬29°温润的亚热带季风气候为地区带来了充分的降水并为果实生长成熟提供热量；昼夜温差大，果实含糖量较高；江南丘陵的红土地有机质含量丰富，酸碱度适中，恰好符合杨梅树喜酸的特性，同时当地由于火山流纹岩地貌而形成了大小不一的谷底和盆地，适合仙居杨梅于小气候种植，早上市，晚落市。</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仙居栽培杨梅已有1000多年的历史，是史上最早栽培杨梅、也是全国最适合种植杨梅的县域之一，至今仙居仍存有大量树龄百年以上的古杨梅树。历史上，仙居从闵超开始普遍种植杨梅，并在以后不断引进了新的品种。上世纪80年代中后期，仙居陆续引进、嫁接东魁、荸荠种杨梅，大大丰富了仙居出产杨梅的品种。90年代后期，仙居县拉开杨梅产业化进程，一干青年才俊带领乡民不断研究杨梅种植技术，改善杨梅品质，提高了市场竞争力。当下，仙居杨梅作为一项富民产业得到了政府的大力引导和扶持，形成了20多个杨梅产地市场、完善的杨梅生产链和优质的杨梅品牌，为仙居农民的脱贫致富发挥了重要作用。</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仙居主要出产四个品种的杨梅：水梅、东魁杨梅、荸荠杨梅和水晶杨梅。仙居杨梅大多个大、味甜、核小，其中东魁杨梅在仙居的单果重平均已有20克，号称“东方之魁”。仙居杨梅用途甚广，其果实到根到树皮皆有功效（消食，止血等），这也为仙居发展杨梅深加工产业，提高产品附加值提供了条件。</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随着历代先民以种植杨梅艰苦谋生，杨梅文化也渗透进村民的衣食住行之中。传统的杨梅烧鸡等美食和酿造的杨梅酒都是礼客时的必备；如今仙居县还有很多以杨梅为元素的装饰用品，寓意丰富，古民居或古村落的物件里也能见到杨梅的影子；民俗方面杨梅经常作为出嫁女儿的嫁妆或者兄弟之间分家的物品，承载着浓浓的传统文化和意蕴。</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凭借卓越的杨梅品质与深厚的杨梅文化，浙江仙居杨梅已经打出了品牌，行业内流传“世界杨梅在中国，中国杨梅出浙江，浙江杨梅数仙居”的说法。早在1994年，著名科学家严济慈品尝仙居杨梅后欣然题写了“仙梅”二字。历经数十年的发展，仙居杨梅所获名牌产品称号无数，享誉国外，销售路径不断拓宽，远销欧美、东南亚等地区，属于我国出口创汇的传统产品。</w:t>
      </w:r>
    </w:p>
    <w:p w:rsidR="001D1D23" w:rsidRPr="001D1D23" w:rsidRDefault="001D1D23" w:rsidP="001D1D23">
      <w:pPr>
        <w:widowControl w:val="0"/>
        <w:jc w:val="both"/>
        <w:rPr>
          <w:rFonts w:ascii="宋体" w:eastAsia="宋体" w:hAnsi="宋体" w:cs="Times New Roman"/>
          <w:color w:val="auto"/>
        </w:rPr>
      </w:pPr>
    </w:p>
    <w:p w:rsidR="001D1D23" w:rsidRPr="001D1D23" w:rsidRDefault="001D1D23" w:rsidP="00DE4F1D">
      <w:pPr>
        <w:widowControl w:val="0"/>
        <w:jc w:val="both"/>
        <w:outlineLvl w:val="1"/>
        <w:rPr>
          <w:rFonts w:ascii="宋体" w:eastAsia="宋体" w:hAnsi="宋体" w:cs="Times New Roman"/>
          <w:b/>
          <w:bCs/>
          <w:color w:val="auto"/>
        </w:rPr>
      </w:pPr>
      <w:bookmarkStart w:id="54" w:name="_Toc16921"/>
      <w:bookmarkStart w:id="55" w:name="_Toc8923"/>
      <w:bookmarkStart w:id="56" w:name="_Toc8601"/>
      <w:r w:rsidRPr="001D1D23">
        <w:rPr>
          <w:rFonts w:ascii="宋体" w:eastAsia="宋体" w:hAnsi="宋体" w:cs="Times New Roman" w:hint="eastAsia"/>
          <w:b/>
          <w:bCs/>
          <w:color w:val="auto"/>
        </w:rPr>
        <w:t>4.2 农业技术：科学结构和严格监管</w:t>
      </w:r>
      <w:bookmarkEnd w:id="54"/>
      <w:bookmarkEnd w:id="55"/>
      <w:bookmarkEnd w:id="56"/>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温润的季风气候、江南丘陵红土地、火山流纹岩地貌形成的小气候……这些得天独厚的自然生态和山水灵气共同孕育了品质卓越的仙居杨梅。不仅如此，完善的农业技术更是为其销往全国、冲出国门打下了坚实的基础。</w:t>
      </w:r>
    </w:p>
    <w:p w:rsidR="001D1D23" w:rsidRPr="001D1D23" w:rsidRDefault="001D1D23" w:rsidP="001D1D23">
      <w:pPr>
        <w:widowControl w:val="0"/>
        <w:jc w:val="both"/>
        <w:rPr>
          <w:rFonts w:ascii="宋体" w:eastAsia="宋体" w:hAnsi="宋体" w:cs="Times New Roman"/>
          <w:b/>
          <w:bCs/>
          <w:color w:val="auto"/>
        </w:rPr>
      </w:pPr>
      <w:r w:rsidRPr="001D1D23">
        <w:rPr>
          <w:rFonts w:ascii="宋体" w:eastAsia="宋体" w:hAnsi="宋体" w:cs="Times New Roman" w:hint="eastAsia"/>
          <w:b/>
          <w:bCs/>
          <w:color w:val="auto"/>
        </w:rPr>
        <w:t>4.2.1 “梅－茶－鸡－蜂”共生共存的农业复合生态模式</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杨梅与茶树间作混栽，仙居鸡饲养于梅林之中，梅林为仙居土蜂提供活动空间，构成了多物种共生共存的农业复合生态模式；林下茶枝繁茂，坡上山鸡跳跃，林间土蜂振翅，构成一幅生态和谐的自然画卷。这就是仙居延续千年的古杨梅群复合种养系统。系统复合协调共生，达到水土保持、水源涵养、增湿控湿的功能。</w:t>
      </w:r>
      <w:r w:rsidRPr="001D1D23">
        <w:rPr>
          <w:rFonts w:ascii="宋体" w:eastAsia="宋体" w:hAnsi="宋体" w:cs="Times New Roman" w:hint="eastAsia"/>
          <w:color w:val="auto"/>
        </w:rPr>
        <w:lastRenderedPageBreak/>
        <w:t>具体而言，杨梅为土鸡提供了活动空间和饲料来源，同时土鸡能帮助杨梅除草除虫、粪便又能作为肥料；杨梅为茶树保水保肥、阻风抗寒，反之茶树帮助增加土壤粗糙度、减缓径流度腐殖质为系统提供优质肥料；剩余空间利用于土蜂培育。</w:t>
      </w:r>
    </w:p>
    <w:p w:rsidR="001D1D23" w:rsidRPr="001D1D23" w:rsidRDefault="001D1D23" w:rsidP="001D1D23">
      <w:pPr>
        <w:widowControl w:val="0"/>
        <w:jc w:val="both"/>
        <w:rPr>
          <w:rFonts w:ascii="宋体" w:eastAsia="宋体" w:hAnsi="宋体" w:cs="Times New Roman"/>
          <w:color w:val="auto"/>
        </w:rPr>
      </w:pPr>
      <w:r w:rsidRPr="001D1D23">
        <w:rPr>
          <w:rFonts w:ascii="宋体" w:eastAsia="宋体" w:hAnsi="宋体" w:cs="Times New Roman" w:hint="eastAsia"/>
          <w:color w:val="auto"/>
        </w:rPr>
        <w:t>除此之外，仙居还实施了“杨梅品牌工程”、“万亩杨梅上高山”、“百里杨梅长廊”等技术手段，现今仙居杨梅面积、产量和产后商品化处理能力渐居全国之首，其品牌价值达20.67亿元。在科技创新方面，率先探索出杨梅无性繁殖技术，通过选种嫁接，把杨梅从最原始的铁梅等改良成了个大味甜的优质杨梅。</w:t>
      </w:r>
    </w:p>
    <w:p w:rsidR="001D1D23" w:rsidRPr="001D1D23" w:rsidRDefault="001D1D23" w:rsidP="001D1D23">
      <w:pPr>
        <w:widowControl w:val="0"/>
        <w:jc w:val="both"/>
        <w:rPr>
          <w:rFonts w:ascii="宋体" w:eastAsia="宋体" w:hAnsi="宋体" w:cs="Times New Roman"/>
          <w:color w:val="auto"/>
        </w:rPr>
      </w:pPr>
    </w:p>
    <w:p w:rsidR="001D1D23" w:rsidRPr="001D1D23" w:rsidRDefault="001D1D23" w:rsidP="001D1D23">
      <w:pPr>
        <w:widowControl w:val="0"/>
        <w:jc w:val="both"/>
        <w:rPr>
          <w:rFonts w:ascii="宋体" w:eastAsia="宋体" w:hAnsi="宋体" w:cs="Times New Roman"/>
          <w:b/>
          <w:bCs/>
          <w:color w:val="auto"/>
        </w:rPr>
      </w:pPr>
      <w:r w:rsidRPr="001D1D23">
        <w:rPr>
          <w:rFonts w:ascii="宋体" w:eastAsia="宋体" w:hAnsi="宋体" w:cs="Times New Roman" w:hint="eastAsia"/>
          <w:b/>
          <w:bCs/>
          <w:color w:val="auto"/>
        </w:rPr>
        <w:t>4.2.2 精深加工调结构</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仙居杨梅最大的特点就是一个鲜字，保鲜运输是其中极为重要的一环。21世纪以来，仙居杨梅迈入产业化发展之路，实施精深加工调结构。</w:t>
      </w:r>
    </w:p>
    <w:p w:rsidR="001D1D23" w:rsidRPr="001D1D23" w:rsidRDefault="001D1D23" w:rsidP="001D1D23">
      <w:pPr>
        <w:widowControl w:val="0"/>
        <w:ind w:firstLineChars="200" w:firstLine="480"/>
        <w:jc w:val="both"/>
        <w:rPr>
          <w:rFonts w:ascii="宋体" w:eastAsia="宋体" w:hAnsi="宋体" w:cs="Times New Roman"/>
          <w:b/>
          <w:bCs/>
          <w:color w:val="auto"/>
        </w:rPr>
      </w:pPr>
      <w:r w:rsidRPr="001D1D23">
        <w:rPr>
          <w:rFonts w:ascii="宋体" w:eastAsia="宋体" w:hAnsi="宋体" w:cs="Times New Roman" w:hint="eastAsia"/>
          <w:color w:val="auto"/>
        </w:rPr>
        <w:t>保鲜储运技术成熟。目前全县已建立300多个小型冷库，根据保鲜储运的不同处理技术和不同消费地点，开展冰袋保鲜、微孔气调保鲜、泡沫箱防震、冷库贮藏、全程冷链运输等方式，降低储运温度和果实呼吸强度，形成了一整套较为成熟的储运技术。</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加强与物流企业合作，保障杨梅运输的速度和质量。可靠的物流使得仙居杨梅成功出口加拿大、荷兰、澳大利亚、阿联酋等国家。</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深加工技术完善且不断创新。现拥有两条投资总额近亿元，国内首创的万吨级杨梅深加工生产线。深加工产品类型达30多种，拥有杨梅加工、包装等专利18项以上，形成了杨梅原汁、浓缩汁、干红、干白、泡酒、醋饮，并开发了酥、膏、果酱、酵素、冰激凌、杨梅花青素、杨梅籽油等新产品。</w:t>
      </w:r>
    </w:p>
    <w:p w:rsidR="001D1D23" w:rsidRPr="001D1D23" w:rsidRDefault="001D1D23" w:rsidP="001D1D23">
      <w:pPr>
        <w:widowControl w:val="0"/>
        <w:jc w:val="both"/>
        <w:rPr>
          <w:rFonts w:ascii="宋体" w:eastAsia="宋体" w:hAnsi="宋体" w:cs="Times New Roman"/>
          <w:b/>
          <w:bCs/>
          <w:color w:val="auto"/>
        </w:rPr>
      </w:pPr>
    </w:p>
    <w:p w:rsidR="001D1D23" w:rsidRPr="001D1D23" w:rsidRDefault="001D1D23" w:rsidP="001D1D23">
      <w:pPr>
        <w:widowControl w:val="0"/>
        <w:jc w:val="both"/>
        <w:rPr>
          <w:rFonts w:ascii="宋体" w:eastAsia="宋体" w:hAnsi="宋体" w:cs="Times New Roman"/>
          <w:b/>
          <w:bCs/>
          <w:color w:val="auto"/>
        </w:rPr>
      </w:pPr>
      <w:r w:rsidRPr="001D1D23">
        <w:rPr>
          <w:rFonts w:ascii="宋体" w:eastAsia="宋体" w:hAnsi="宋体" w:cs="Times New Roman" w:hint="eastAsia"/>
          <w:b/>
          <w:bCs/>
          <w:color w:val="auto"/>
        </w:rPr>
        <w:t>4.2.3 围绕总目标——“保障每一颗杨梅都能经得起检验”</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仙居杨梅的保护开发围绕一个目标，即“保障每一颗杨梅都能经得起检验”，为此仙居实施了六大方面的工作。</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第一，采用梯度开发。在低山缓坡上发展早熟的荸荠种杨梅，在中高山区发展东魁等晚熟品种，利用海拔高度差拉长杨梅采收期，使整个采摘期大约50天。</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第二，坚持生态栽培。实施标准化生产，推广果园生草、增施有机肥等种植方式，以土壤自身的肥力为基础，为杨梅质量安全提供生态果园环境，同时建设杨梅钢架大棚、罗曼帐篷等避雨栽培设施。</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第三，实行绿色防控。统防统治基本全覆盖，目前杀虫灯、黄板粘卡等物理防治面积已达10万多亩。</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第四，实施全过程监管。县级抽调农业农村、市场监管等部门人员集中办公，乡镇强化基层检测，充分利用20多个乡镇街道的定性检测室，村级配备杨梅质量安全监管员，实现监管全覆盖。</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第五，采用全方位抽测。开展行业、产地、环节全过程质量检测，检测面覆盖全县投产杨梅园和杨梅市场。</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第六，实施常态化执法。建立“竹竿队”，对杨梅抽查检测不合格的，将该种植户的所有杨梅一律敲落停采，同时建立最严格的仙居杨梅联合执法机制，严厉打击违法行为。</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仙居积极做好“杨梅+科学”文章，促进杨梅产业的转型升级。技术方面，仙居实施生态栽培和标准化生产，大力推广果园生草增施有机肥等科学种植模式，实行杨梅统防统治；检测方面，建立以县级农产品检测中心为引领的县－乡－村三级杨梅质量安全监管制度，开展行业－产地－环节杨梅全过程质量检测工作，</w:t>
      </w:r>
      <w:r w:rsidRPr="001D1D23">
        <w:rPr>
          <w:rFonts w:ascii="宋体" w:eastAsia="宋体" w:hAnsi="宋体" w:cs="Times New Roman" w:hint="eastAsia"/>
          <w:color w:val="auto"/>
        </w:rPr>
        <w:lastRenderedPageBreak/>
        <w:t>形成最严格的联合执法。科学技术和严格监管的结合构成了一个纵向到底、横向到边的杨梅绿色防控体系。</w:t>
      </w:r>
    </w:p>
    <w:p w:rsidR="001D1D23" w:rsidRPr="001D1D23" w:rsidRDefault="001D1D23" w:rsidP="001D1D23">
      <w:pPr>
        <w:widowControl w:val="0"/>
        <w:jc w:val="both"/>
        <w:rPr>
          <w:rFonts w:ascii="宋体" w:eastAsia="宋体" w:hAnsi="宋体" w:cs="Times New Roman"/>
          <w:b/>
          <w:bCs/>
          <w:color w:val="auto"/>
        </w:rPr>
      </w:pPr>
    </w:p>
    <w:p w:rsidR="001D1D23" w:rsidRPr="001D1D23" w:rsidRDefault="001D1D23" w:rsidP="00DE4F1D">
      <w:pPr>
        <w:widowControl w:val="0"/>
        <w:jc w:val="both"/>
        <w:outlineLvl w:val="1"/>
        <w:rPr>
          <w:rFonts w:ascii="宋体" w:eastAsia="宋体" w:hAnsi="宋体" w:cs="Times New Roman"/>
          <w:b/>
          <w:bCs/>
          <w:color w:val="auto"/>
        </w:rPr>
      </w:pPr>
      <w:bookmarkStart w:id="57" w:name="_Toc13463"/>
      <w:bookmarkStart w:id="58" w:name="_Toc28127"/>
      <w:bookmarkStart w:id="59" w:name="_Toc17179"/>
      <w:r w:rsidRPr="001D1D23">
        <w:rPr>
          <w:rFonts w:ascii="宋体" w:eastAsia="宋体" w:hAnsi="宋体" w:cs="Times New Roman" w:hint="eastAsia"/>
          <w:b/>
          <w:bCs/>
          <w:color w:val="auto"/>
        </w:rPr>
        <w:t>4.3制度手段：线上政务平台与财税政策</w:t>
      </w:r>
      <w:bookmarkEnd w:id="57"/>
      <w:bookmarkEnd w:id="58"/>
      <w:bookmarkEnd w:id="59"/>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仙居当地开发的“亲农在线”平台，是一次面向农民的线上政务创新，核心的功能是实现农民远程、线上开具发票。其产生的经济效益和对税收政策的影响，以及相关的补助措施是否有效率，是我们需要思考的问题。</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发票是商业经营及纳税的凭证，但长久以来，开具发票对于仙居梅农而言是困难而繁琐的程序。国家对于自产自销的农产品给予了优惠的免税政策，但由于政策规定的免税条件严谨而苛刻，农民开具发票需要完成复杂的“自产自销”证明，且跋涉崎岖山路来到县里的税务机构办理手续，开票过程常常需要耗费一天。在杨梅成熟的农忙季节，这样耗时的活动常常耽误杨梅的采摘，杨梅的新鲜程度和价格也随时间逐步降低。仙居当地通过开发“亲农在线”的线上政务平台，将此前繁琐的线下开票过程完全转移到线上。一则极大减少了开具证明和长途跋涉的时间，二则将远程开票变为可能，梅农在外工作的子女可代父母线上办理各项政务。</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开具发票的成本极大打击了梅农开票的意愿，而“亲农在线”的开通无疑鼓励了农民自行开具发票。这样的行为本身对各项税收制度的效果产生了进一步的影响。</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首先，针对农产品的免税政策真正得到落实。此前，农民虽然不需要直接纳税，但其开具发票需要付出不小的成本。农民常通过经销商出售杨梅以避免开票成本，免税政策的部分福利则作为租金转移到了开票更为便利的经销商中。农民没有直接纳税，但经销商通过压低农产品价格将税收间接转移到农民身上，换言之，免税政策没有实现农产品的零税率。农民自行开票减少了交易的中间环节，进一步降低了农产品的实际税率。</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其次，农产品深加工企业的纳税情况得到规范。由于农民此前普遍没有自行开具发票的能力，农产品深加工企业没有关于其农产品原料的纳税证明，因此农产品深加工企业被特许自行计算农产品成本作为进项抵扣。在没有发票证明的情况下，对企业成本的审计十分困难，信息的不对称为企业创造了夸大进项抵扣，规避税收的操作空间。因此农产品深加工企业虚增进项抵扣的情况在全国各地皆有发生。在农民可以自行开发票的情况下，农产品深加工企业成本审计的证据将更加充分，纳税情况的监管将更容易实施。</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遗憾的是，税收政策的套利空间依然存在。虽然农产品深加工企业使用的农产品原料成本将有农民开具的发票作为证据，但每一笔农产品交易的数量和价格仍是不完全透明的。套利的根源在于农民与企业的税率有差异，企业可以选择与农民合谋，在增值税体系下将更多的税基分摊到农民身上，具体的操作仍是虚增农产品的成本，而农民受免税政策优惠没有拒绝合谋的动机，最终农民和企业将共同分摊规避税收的收益。对于这种现象，当地政府只有采取行政手段介入，对当年该户农民的产量与市场价格进行调查，将虚增发票的额度控制在一定范围之内。</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在无法消除信息不对称的情况下，对农民的财政扶持方式也许有调整的空间。对农产品深加工企业以一定的比例征税或计算进项抵扣是一种方法，可以直接消除企业夸大进项抵扣的动机。另一种方法是放弃对农民的税收优惠，使农民与农产品加工企业适用统一税率，也可以减少改变税基分摊结构的套利动机，并采用</w:t>
      </w:r>
      <w:r w:rsidRPr="001D1D23">
        <w:rPr>
          <w:rFonts w:ascii="宋体" w:eastAsia="宋体" w:hAnsi="宋体" w:cs="Times New Roman" w:hint="eastAsia"/>
          <w:color w:val="auto"/>
        </w:rPr>
        <w:lastRenderedPageBreak/>
        <w:t>对农户的补贴、转移支付等其他手段补助农户。或是以更科学的方法测量农产品下游各环节的税收分摊，并予以返还以实现农产品的零税率，都是可以思考的政策方向。但正如此前的税收优惠适用到基层总是产生各种问题，新的政策思路也必须经过试点实践，在完全科学的税制产生之前，借助“亲农平台”这样的新科技新技术，提高交易的透明度和监管措施的精准度，也不失为有效的改进方式。</w:t>
      </w:r>
    </w:p>
    <w:p w:rsidR="001D1D23" w:rsidRPr="001D1D23" w:rsidRDefault="001D1D23" w:rsidP="001D1D23">
      <w:pPr>
        <w:widowControl w:val="0"/>
        <w:jc w:val="both"/>
        <w:rPr>
          <w:rFonts w:ascii="宋体" w:eastAsia="宋体" w:hAnsi="宋体" w:cs="Times New Roman"/>
          <w:color w:val="auto"/>
        </w:rPr>
      </w:pPr>
    </w:p>
    <w:p w:rsidR="001D1D23" w:rsidRPr="001D1D23" w:rsidRDefault="001D1D23" w:rsidP="00DE4F1D">
      <w:pPr>
        <w:widowControl w:val="0"/>
        <w:jc w:val="both"/>
        <w:outlineLvl w:val="0"/>
        <w:rPr>
          <w:rFonts w:ascii="宋体" w:eastAsia="宋体" w:hAnsi="宋体" w:cs="Times New Roman"/>
          <w:b/>
          <w:bCs/>
          <w:color w:val="auto"/>
          <w:sz w:val="32"/>
          <w:szCs w:val="32"/>
        </w:rPr>
      </w:pPr>
      <w:bookmarkStart w:id="60" w:name="_Toc24041"/>
      <w:bookmarkStart w:id="61" w:name="_Toc24812"/>
      <w:bookmarkStart w:id="62" w:name="_Toc25502"/>
      <w:bookmarkStart w:id="63" w:name="_Toc57099163"/>
      <w:r w:rsidRPr="001D1D23">
        <w:rPr>
          <w:rFonts w:ascii="宋体" w:eastAsia="宋体" w:hAnsi="宋体" w:cs="Times New Roman" w:hint="eastAsia"/>
          <w:b/>
          <w:bCs/>
          <w:color w:val="auto"/>
          <w:sz w:val="32"/>
          <w:szCs w:val="32"/>
        </w:rPr>
        <w:t>5.总结</w:t>
      </w:r>
      <w:bookmarkEnd w:id="60"/>
      <w:bookmarkEnd w:id="61"/>
      <w:bookmarkEnd w:id="62"/>
      <w:bookmarkEnd w:id="63"/>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乡村兴则国家兴，我国人民日益增长的美好生活需要和不平衡不充分的发展之间的矛盾在乡村最为突出。实现乡村振兴，是解决新时代我国社会主要矛盾、实现“两个一百年”奋斗目标和中华民族伟大复兴中国梦的必然要求，具有重大现实意义和深远历史意义。</w:t>
      </w:r>
    </w:p>
    <w:p w:rsidR="001D1D23" w:rsidRPr="001D1D23" w:rsidRDefault="001D1D23" w:rsidP="001D1D23">
      <w:pPr>
        <w:widowControl w:val="0"/>
        <w:ind w:firstLineChars="200" w:firstLine="480"/>
        <w:jc w:val="both"/>
        <w:rPr>
          <w:rFonts w:ascii="宋体" w:eastAsia="宋体" w:hAnsi="宋体" w:cs="Times New Roman"/>
          <w:color w:val="auto"/>
        </w:rPr>
      </w:pPr>
      <w:r w:rsidRPr="001D1D23">
        <w:rPr>
          <w:rFonts w:ascii="宋体" w:eastAsia="宋体" w:hAnsi="宋体" w:cs="Times New Roman" w:hint="eastAsia"/>
          <w:color w:val="auto"/>
        </w:rPr>
        <w:t>仙居的发展之路是中国乡村振兴的缩影，除了民宿产业的建立、基础设施的兴建和基层党建，金竹溪村以农家乐为核心和上海、温州等地展开合作，走的是协同发展之路；仙居杨梅利用科学技术进行标准化生产，采取现代化种植技术，走的是科技助农之路……</w:t>
      </w:r>
    </w:p>
    <w:p w:rsidR="008666A7" w:rsidRPr="00DE4F1D" w:rsidRDefault="001D1D23" w:rsidP="00DE4F1D">
      <w:pPr>
        <w:widowControl w:val="0"/>
        <w:ind w:firstLineChars="200" w:firstLine="480"/>
        <w:jc w:val="both"/>
        <w:rPr>
          <w:rFonts w:ascii="宋体" w:eastAsia="宋体" w:hAnsi="宋体" w:cs="Times New Roman" w:hint="eastAsia"/>
          <w:color w:val="auto"/>
        </w:rPr>
      </w:pPr>
      <w:r w:rsidRPr="001D1D23">
        <w:rPr>
          <w:rFonts w:ascii="宋体" w:eastAsia="宋体" w:hAnsi="宋体" w:cs="Times New Roman" w:hint="eastAsia"/>
          <w:color w:val="auto"/>
        </w:rPr>
        <w:t>这些通常只存在于课本里的概念通过这次社会实践变得鲜活，使我们真切感受到了中国乡村的振兴，也认识到了这一路上所遇到的重重难关。我们相信，在仙居百姓踏实勤恳的努力下，在仙居干部认真负责的带领下，在政府政策的扶持下，在未来，仙居县一定会发展得越来越好。</w:t>
      </w:r>
    </w:p>
    <w:sectPr w:rsidR="008666A7" w:rsidRPr="00DE4F1D">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83F56" w:rsidRDefault="00F83F56" w:rsidP="001D1D23">
      <w:r>
        <w:separator/>
      </w:r>
    </w:p>
  </w:endnote>
  <w:endnote w:type="continuationSeparator" w:id="0">
    <w:p w:rsidR="00F83F56" w:rsidRDefault="00F83F56" w:rsidP="001D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仿宋_GB2312">
    <w:altName w:val="微软雅黑"/>
    <w:panose1 w:val="020B0604020202020204"/>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618886398"/>
      <w:docPartObj>
        <w:docPartGallery w:val="Page Numbers (Bottom of Page)"/>
        <w:docPartUnique/>
      </w:docPartObj>
    </w:sdtPr>
    <w:sdtContent>
      <w:p w:rsidR="00FA2038" w:rsidRDefault="00FA2038" w:rsidP="00BC480D">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end"/>
        </w:r>
      </w:p>
    </w:sdtContent>
  </w:sdt>
  <w:p w:rsidR="00FA2038" w:rsidRDefault="00FA2038" w:rsidP="00FA203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8"/>
      </w:rPr>
      <w:id w:val="-1573734299"/>
      <w:docPartObj>
        <w:docPartGallery w:val="Page Numbers (Bottom of Page)"/>
        <w:docPartUnique/>
      </w:docPartObj>
    </w:sdtPr>
    <w:sdtContent>
      <w:p w:rsidR="00FA2038" w:rsidRDefault="00FA2038" w:rsidP="00BC480D">
        <w:pPr>
          <w:pStyle w:val="a6"/>
          <w:framePr w:wrap="none" w:vAnchor="text" w:hAnchor="margin" w:xAlign="right" w:y="1"/>
          <w:rPr>
            <w:rStyle w:val="a8"/>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sdtContent>
  </w:sdt>
  <w:p w:rsidR="00FA2038" w:rsidRDefault="00FA2038" w:rsidP="00FA2038">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83F56" w:rsidRDefault="00F83F56" w:rsidP="001D1D23">
      <w:r>
        <w:separator/>
      </w:r>
    </w:p>
  </w:footnote>
  <w:footnote w:type="continuationSeparator" w:id="0">
    <w:p w:rsidR="00F83F56" w:rsidRDefault="00F83F56" w:rsidP="001D1D23">
      <w:r>
        <w:continuationSeparator/>
      </w:r>
    </w:p>
  </w:footnote>
  <w:footnote w:id="1">
    <w:p w:rsidR="001D1D23" w:rsidRDefault="001D1D23" w:rsidP="001D1D23">
      <w:pPr>
        <w:pStyle w:val="a3"/>
        <w:rPr>
          <w:rFonts w:ascii="宋体" w:hAnsi="宋体"/>
        </w:rPr>
      </w:pPr>
      <w:r>
        <w:rPr>
          <w:rStyle w:val="a5"/>
          <w:rFonts w:ascii="宋体" w:hAnsi="宋体"/>
        </w:rPr>
        <w:footnoteRef/>
      </w:r>
      <w:r>
        <w:rPr>
          <w:rFonts w:ascii="宋体" w:hAnsi="宋体"/>
        </w:rPr>
        <w:t xml:space="preserve"> </w:t>
      </w:r>
      <w:r>
        <w:rPr>
          <w:rFonts w:ascii="宋体" w:hAnsi="宋体" w:hint="eastAsia"/>
        </w:rPr>
        <w:t>习近平：</w:t>
      </w:r>
      <w:r>
        <w:rPr>
          <w:rFonts w:ascii="宋体" w:hAnsi="宋体"/>
        </w:rPr>
        <w:t>脱贫攻坚战冲锋号已经吹响 全党全国咬定目标苦干实干</w:t>
      </w:r>
      <w:r>
        <w:rPr>
          <w:rFonts w:ascii="宋体" w:hAnsi="宋体" w:hint="eastAsia"/>
        </w:rPr>
        <w:t>.</w:t>
      </w:r>
      <w:r>
        <w:rPr>
          <w:rFonts w:ascii="宋体" w:hAnsi="宋体"/>
        </w:rPr>
        <w:t xml:space="preserve"> 新华网</w:t>
      </w:r>
      <w:r>
        <w:rPr>
          <w:rFonts w:ascii="宋体" w:hAnsi="宋体" w:hint="eastAsia"/>
        </w:rPr>
        <w:t>.</w:t>
      </w:r>
      <w:r>
        <w:rPr>
          <w:rFonts w:ascii="宋体" w:hAnsi="宋体"/>
        </w:rPr>
        <w:t xml:space="preserve"> 2015-11-28[引用日期2015-11-29]</w:t>
      </w:r>
    </w:p>
  </w:footnote>
  <w:footnote w:id="2">
    <w:p w:rsidR="001D1D23" w:rsidRDefault="001D1D23" w:rsidP="001D1D23">
      <w:pPr>
        <w:pStyle w:val="a3"/>
      </w:pPr>
      <w:r>
        <w:rPr>
          <w:rStyle w:val="a5"/>
          <w:rFonts w:ascii="宋体" w:hAnsi="宋体"/>
        </w:rPr>
        <w:footnoteRef/>
      </w:r>
      <w:r>
        <w:rPr>
          <w:rFonts w:ascii="宋体" w:hAnsi="宋体"/>
        </w:rPr>
        <w:t xml:space="preserve"> </w:t>
      </w:r>
      <w:r>
        <w:rPr>
          <w:rFonts w:ascii="宋体" w:hAnsi="宋体" w:hint="eastAsia"/>
        </w:rPr>
        <w:t>习近平：</w:t>
      </w:r>
      <w:r>
        <w:rPr>
          <w:rFonts w:ascii="宋体" w:hAnsi="宋体"/>
        </w:rPr>
        <w:t>脱贫攻坚战冲锋号已经吹响 全党全国咬定目标苦干实干</w:t>
      </w:r>
      <w:r>
        <w:rPr>
          <w:rFonts w:ascii="宋体" w:hAnsi="宋体" w:hint="eastAsia"/>
        </w:rPr>
        <w:t>.</w:t>
      </w:r>
      <w:r>
        <w:rPr>
          <w:rFonts w:ascii="宋体" w:hAnsi="宋体"/>
        </w:rPr>
        <w:t xml:space="preserve"> 新华网</w:t>
      </w:r>
      <w:r>
        <w:rPr>
          <w:rFonts w:ascii="宋体" w:hAnsi="宋体" w:hint="eastAsia"/>
        </w:rPr>
        <w:t>.</w:t>
      </w:r>
      <w:r>
        <w:rPr>
          <w:rFonts w:ascii="宋体" w:hAnsi="宋体"/>
        </w:rPr>
        <w:t xml:space="preserve"> 2015-11-28[引用日期2015-11-29]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4B8"/>
    <w:rsid w:val="00002EEC"/>
    <w:rsid w:val="001D1D23"/>
    <w:rsid w:val="006054B8"/>
    <w:rsid w:val="00651A7A"/>
    <w:rsid w:val="008666A7"/>
    <w:rsid w:val="00DE4F1D"/>
    <w:rsid w:val="00F83F56"/>
    <w:rsid w:val="00FA2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1A16F"/>
  <w15:chartTrackingRefBased/>
  <w15:docId w15:val="{7572FB3B-3577-45BF-BA51-98266105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仿宋_GB2312" w:hAnsi="Times New Roman" w:cstheme="minorBidi"/>
        <w:color w:val="000000" w:themeColor="text1"/>
        <w:kern w:val="2"/>
        <w:sz w:val="24"/>
        <w:szCs w:val="24"/>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SOffice2">
    <w:name w:val="WPSOffice手动目录 2"/>
    <w:qFormat/>
    <w:rsid w:val="001D1D23"/>
    <w:pPr>
      <w:ind w:leftChars="200" w:left="200"/>
      <w:jc w:val="left"/>
    </w:pPr>
    <w:rPr>
      <w:rFonts w:eastAsia="宋体" w:cs="Times New Roman"/>
      <w:color w:val="auto"/>
      <w:kern w:val="0"/>
      <w:sz w:val="20"/>
      <w:szCs w:val="20"/>
    </w:rPr>
  </w:style>
  <w:style w:type="paragraph" w:customStyle="1" w:styleId="WPSOffice3">
    <w:name w:val="WPSOffice手动目录 3"/>
    <w:qFormat/>
    <w:rsid w:val="001D1D23"/>
    <w:pPr>
      <w:ind w:leftChars="400" w:left="400"/>
      <w:jc w:val="left"/>
    </w:pPr>
    <w:rPr>
      <w:rFonts w:asciiTheme="minorHAnsi" w:eastAsiaTheme="minorEastAsia" w:hAnsiTheme="minorHAnsi"/>
      <w:color w:val="auto"/>
      <w:kern w:val="0"/>
      <w:sz w:val="20"/>
      <w:szCs w:val="20"/>
    </w:rPr>
  </w:style>
  <w:style w:type="paragraph" w:styleId="a3">
    <w:name w:val="footnote text"/>
    <w:basedOn w:val="a"/>
    <w:link w:val="a4"/>
    <w:uiPriority w:val="99"/>
    <w:semiHidden/>
    <w:unhideWhenUsed/>
    <w:qFormat/>
    <w:rsid w:val="001D1D23"/>
    <w:pPr>
      <w:widowControl w:val="0"/>
      <w:snapToGrid w:val="0"/>
      <w:jc w:val="left"/>
    </w:pPr>
    <w:rPr>
      <w:rFonts w:ascii="Calibri" w:eastAsia="宋体" w:hAnsi="Calibri"/>
      <w:color w:val="auto"/>
      <w:sz w:val="18"/>
      <w:szCs w:val="18"/>
    </w:rPr>
  </w:style>
  <w:style w:type="character" w:customStyle="1" w:styleId="a4">
    <w:name w:val="脚注文本 字符"/>
    <w:basedOn w:val="a0"/>
    <w:link w:val="a3"/>
    <w:uiPriority w:val="99"/>
    <w:semiHidden/>
    <w:rsid w:val="001D1D23"/>
    <w:rPr>
      <w:rFonts w:ascii="Calibri" w:eastAsia="宋体" w:hAnsi="Calibri"/>
      <w:color w:val="auto"/>
      <w:sz w:val="18"/>
      <w:szCs w:val="18"/>
    </w:rPr>
  </w:style>
  <w:style w:type="character" w:styleId="a5">
    <w:name w:val="footnote reference"/>
    <w:basedOn w:val="a0"/>
    <w:uiPriority w:val="99"/>
    <w:semiHidden/>
    <w:unhideWhenUsed/>
    <w:qFormat/>
    <w:rsid w:val="001D1D23"/>
    <w:rPr>
      <w:vertAlign w:val="superscript"/>
    </w:rPr>
  </w:style>
  <w:style w:type="paragraph" w:styleId="a6">
    <w:name w:val="footer"/>
    <w:basedOn w:val="a"/>
    <w:link w:val="a7"/>
    <w:uiPriority w:val="99"/>
    <w:unhideWhenUsed/>
    <w:rsid w:val="00FA2038"/>
    <w:pPr>
      <w:tabs>
        <w:tab w:val="center" w:pos="4153"/>
        <w:tab w:val="right" w:pos="8306"/>
      </w:tabs>
      <w:snapToGrid w:val="0"/>
      <w:jc w:val="left"/>
    </w:pPr>
    <w:rPr>
      <w:sz w:val="18"/>
      <w:szCs w:val="18"/>
    </w:rPr>
  </w:style>
  <w:style w:type="character" w:customStyle="1" w:styleId="a7">
    <w:name w:val="页脚 字符"/>
    <w:basedOn w:val="a0"/>
    <w:link w:val="a6"/>
    <w:uiPriority w:val="99"/>
    <w:rsid w:val="00FA2038"/>
    <w:rPr>
      <w:sz w:val="18"/>
      <w:szCs w:val="18"/>
    </w:rPr>
  </w:style>
  <w:style w:type="character" w:styleId="a8">
    <w:name w:val="page number"/>
    <w:basedOn w:val="a0"/>
    <w:uiPriority w:val="99"/>
    <w:semiHidden/>
    <w:unhideWhenUsed/>
    <w:rsid w:val="00FA2038"/>
  </w:style>
  <w:style w:type="paragraph" w:styleId="TOC1">
    <w:name w:val="toc 1"/>
    <w:basedOn w:val="a"/>
    <w:next w:val="a"/>
    <w:autoRedefine/>
    <w:uiPriority w:val="39"/>
    <w:unhideWhenUsed/>
    <w:rsid w:val="00FA2038"/>
    <w:pPr>
      <w:spacing w:before="120" w:after="120"/>
      <w:jc w:val="left"/>
    </w:pPr>
    <w:rPr>
      <w:rFonts w:asciiTheme="minorHAnsi" w:eastAsiaTheme="minorHAnsi"/>
      <w:b/>
      <w:bCs/>
      <w:caps/>
      <w:sz w:val="20"/>
      <w:szCs w:val="20"/>
    </w:rPr>
  </w:style>
  <w:style w:type="paragraph" w:styleId="TOC2">
    <w:name w:val="toc 2"/>
    <w:basedOn w:val="a"/>
    <w:next w:val="a"/>
    <w:autoRedefine/>
    <w:uiPriority w:val="39"/>
    <w:unhideWhenUsed/>
    <w:rsid w:val="00FA2038"/>
    <w:pPr>
      <w:ind w:left="240"/>
      <w:jc w:val="left"/>
    </w:pPr>
    <w:rPr>
      <w:rFonts w:asciiTheme="minorHAnsi" w:eastAsiaTheme="minorHAnsi"/>
      <w:smallCaps/>
      <w:sz w:val="20"/>
      <w:szCs w:val="20"/>
    </w:rPr>
  </w:style>
  <w:style w:type="paragraph" w:styleId="TOC3">
    <w:name w:val="toc 3"/>
    <w:basedOn w:val="a"/>
    <w:next w:val="a"/>
    <w:autoRedefine/>
    <w:uiPriority w:val="39"/>
    <w:unhideWhenUsed/>
    <w:rsid w:val="00FA2038"/>
    <w:pPr>
      <w:ind w:left="480"/>
      <w:jc w:val="left"/>
    </w:pPr>
    <w:rPr>
      <w:rFonts w:asciiTheme="minorHAnsi" w:eastAsiaTheme="minorHAnsi"/>
      <w:i/>
      <w:iCs/>
      <w:sz w:val="20"/>
      <w:szCs w:val="20"/>
    </w:rPr>
  </w:style>
  <w:style w:type="paragraph" w:styleId="TOC4">
    <w:name w:val="toc 4"/>
    <w:basedOn w:val="a"/>
    <w:next w:val="a"/>
    <w:autoRedefine/>
    <w:uiPriority w:val="39"/>
    <w:unhideWhenUsed/>
    <w:rsid w:val="00FA2038"/>
    <w:pPr>
      <w:ind w:left="720"/>
      <w:jc w:val="left"/>
    </w:pPr>
    <w:rPr>
      <w:rFonts w:asciiTheme="minorHAnsi" w:eastAsiaTheme="minorHAnsi"/>
      <w:sz w:val="18"/>
      <w:szCs w:val="18"/>
    </w:rPr>
  </w:style>
  <w:style w:type="paragraph" w:styleId="TOC5">
    <w:name w:val="toc 5"/>
    <w:basedOn w:val="a"/>
    <w:next w:val="a"/>
    <w:autoRedefine/>
    <w:uiPriority w:val="39"/>
    <w:unhideWhenUsed/>
    <w:rsid w:val="00FA2038"/>
    <w:pPr>
      <w:ind w:left="960"/>
      <w:jc w:val="left"/>
    </w:pPr>
    <w:rPr>
      <w:rFonts w:asciiTheme="minorHAnsi" w:eastAsiaTheme="minorHAnsi"/>
      <w:sz w:val="18"/>
      <w:szCs w:val="18"/>
    </w:rPr>
  </w:style>
  <w:style w:type="paragraph" w:styleId="TOC6">
    <w:name w:val="toc 6"/>
    <w:basedOn w:val="a"/>
    <w:next w:val="a"/>
    <w:autoRedefine/>
    <w:uiPriority w:val="39"/>
    <w:unhideWhenUsed/>
    <w:rsid w:val="00FA2038"/>
    <w:pPr>
      <w:ind w:left="1200"/>
      <w:jc w:val="left"/>
    </w:pPr>
    <w:rPr>
      <w:rFonts w:asciiTheme="minorHAnsi" w:eastAsiaTheme="minorHAnsi"/>
      <w:sz w:val="18"/>
      <w:szCs w:val="18"/>
    </w:rPr>
  </w:style>
  <w:style w:type="paragraph" w:styleId="TOC7">
    <w:name w:val="toc 7"/>
    <w:basedOn w:val="a"/>
    <w:next w:val="a"/>
    <w:autoRedefine/>
    <w:uiPriority w:val="39"/>
    <w:unhideWhenUsed/>
    <w:rsid w:val="00FA2038"/>
    <w:pPr>
      <w:ind w:left="1440"/>
      <w:jc w:val="left"/>
    </w:pPr>
    <w:rPr>
      <w:rFonts w:asciiTheme="minorHAnsi" w:eastAsiaTheme="minorHAnsi"/>
      <w:sz w:val="18"/>
      <w:szCs w:val="18"/>
    </w:rPr>
  </w:style>
  <w:style w:type="paragraph" w:styleId="TOC8">
    <w:name w:val="toc 8"/>
    <w:basedOn w:val="a"/>
    <w:next w:val="a"/>
    <w:autoRedefine/>
    <w:uiPriority w:val="39"/>
    <w:unhideWhenUsed/>
    <w:rsid w:val="00FA2038"/>
    <w:pPr>
      <w:ind w:left="1680"/>
      <w:jc w:val="left"/>
    </w:pPr>
    <w:rPr>
      <w:rFonts w:asciiTheme="minorHAnsi" w:eastAsiaTheme="minorHAnsi"/>
      <w:sz w:val="18"/>
      <w:szCs w:val="18"/>
    </w:rPr>
  </w:style>
  <w:style w:type="paragraph" w:styleId="TOC9">
    <w:name w:val="toc 9"/>
    <w:basedOn w:val="a"/>
    <w:next w:val="a"/>
    <w:autoRedefine/>
    <w:uiPriority w:val="39"/>
    <w:unhideWhenUsed/>
    <w:rsid w:val="00FA2038"/>
    <w:pPr>
      <w:ind w:left="1920"/>
      <w:jc w:val="left"/>
    </w:pPr>
    <w:rPr>
      <w:rFonts w:asciiTheme="minorHAnsi" w:eastAsiaTheme="minorHAnsi"/>
      <w:sz w:val="18"/>
      <w:szCs w:val="18"/>
    </w:rPr>
  </w:style>
  <w:style w:type="character" w:styleId="a9">
    <w:name w:val="Hyperlink"/>
    <w:basedOn w:val="a0"/>
    <w:uiPriority w:val="99"/>
    <w:unhideWhenUsed/>
    <w:rsid w:val="00FA20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5B70-63AA-0D46-B8D5-0A9C8A83E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1694</Words>
  <Characters>9662</Characters>
  <Application>Microsoft Office Word</Application>
  <DocSecurity>0</DocSecurity>
  <Lines>80</Lines>
  <Paragraphs>22</Paragraphs>
  <ScaleCrop>false</ScaleCrop>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 静</dc:creator>
  <cp:keywords/>
  <dc:description/>
  <cp:lastModifiedBy>2197798640@qq.com</cp:lastModifiedBy>
  <cp:revision>6</cp:revision>
  <dcterms:created xsi:type="dcterms:W3CDTF">2020-11-09T00:58:00Z</dcterms:created>
  <dcterms:modified xsi:type="dcterms:W3CDTF">2020-11-24T00:33:00Z</dcterms:modified>
</cp:coreProperties>
</file>